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rPr>
          <w:rFonts w:hint="default" w:eastAsia="等线"/>
          <w:lang w:val="en-US" w:eastAsia="zh-CN"/>
        </w:rPr>
      </w:pPr>
      <w:r>
        <w:t>3GPP TSG RAN WG3 122</w:t>
      </w:r>
      <w:r>
        <w:tab/>
      </w:r>
      <w:r>
        <w:t>R3-23</w:t>
      </w:r>
      <w:r>
        <w:rPr>
          <w:rFonts w:hint="eastAsia"/>
          <w:lang w:val="en-US" w:eastAsia="zh-CN"/>
        </w:rPr>
        <w:t>7708</w:t>
      </w:r>
      <w:bookmarkStart w:id="1" w:name="_GoBack"/>
      <w:bookmarkEnd w:id="1"/>
    </w:p>
    <w:p>
      <w:pPr>
        <w:pStyle w:val="15"/>
        <w:jc w:val="both"/>
        <w:rPr>
          <w:i w:val="0"/>
          <w:sz w:val="24"/>
        </w:rPr>
      </w:pPr>
      <w:r>
        <w:rPr>
          <w:i w:val="0"/>
          <w:sz w:val="24"/>
        </w:rPr>
        <w:t>Chicago, US, 13 - 17 November, 2023</w:t>
      </w:r>
    </w:p>
    <w:p>
      <w:pPr>
        <w:pStyle w:val="15"/>
        <w:jc w:val="both"/>
      </w:pPr>
    </w:p>
    <w:p>
      <w:pPr>
        <w:pStyle w:val="15"/>
        <w:jc w:val="both"/>
        <w:rPr>
          <w:rFonts w:eastAsia="宋体"/>
          <w:b w:val="0"/>
          <w:i w:val="0"/>
          <w:sz w:val="24"/>
        </w:rPr>
      </w:pPr>
    </w:p>
    <w:p>
      <w:pPr>
        <w:tabs>
          <w:tab w:val="left" w:pos="1985"/>
        </w:tabs>
        <w:ind w:left="1980" w:hanging="1980"/>
        <w:rPr>
          <w:rStyle w:val="78"/>
        </w:rPr>
      </w:pPr>
      <w:r>
        <w:rPr>
          <w:b/>
          <w:sz w:val="24"/>
        </w:rPr>
        <w:t>Title:</w:t>
      </w:r>
      <w:r>
        <w:rPr>
          <w:sz w:val="24"/>
        </w:rPr>
        <w:t xml:space="preserve"> </w:t>
      </w:r>
      <w:r>
        <w:rPr>
          <w:sz w:val="24"/>
        </w:rPr>
        <w:tab/>
      </w:r>
      <w:r>
        <w:rPr>
          <w:rFonts w:hint="eastAsia"/>
          <w:sz w:val="24"/>
        </w:rPr>
        <w:t xml:space="preserve">Discussion on QoE measurement in </w:t>
      </w:r>
      <w:r>
        <w:rPr>
          <w:sz w:val="24"/>
        </w:rPr>
        <w:t>RRC_INACTIVE and RRC_IDLE states</w:t>
      </w:r>
    </w:p>
    <w:p>
      <w:pPr>
        <w:tabs>
          <w:tab w:val="left" w:pos="1985"/>
        </w:tabs>
        <w:rPr>
          <w:rStyle w:val="78"/>
        </w:rPr>
      </w:pPr>
      <w:r>
        <w:rPr>
          <w:b/>
          <w:sz w:val="24"/>
        </w:rPr>
        <w:t xml:space="preserve">Source: </w:t>
      </w:r>
      <w:r>
        <w:rPr>
          <w:b/>
          <w:sz w:val="24"/>
        </w:rPr>
        <w:tab/>
      </w:r>
      <w:r>
        <w:rPr>
          <w:rFonts w:hint="eastAsia"/>
          <w:bCs/>
          <w:sz w:val="24"/>
        </w:rPr>
        <w:t>China Unicom</w:t>
      </w:r>
    </w:p>
    <w:p>
      <w:pPr>
        <w:tabs>
          <w:tab w:val="left" w:pos="1985"/>
        </w:tabs>
        <w:rPr>
          <w:rStyle w:val="78"/>
        </w:rPr>
      </w:pPr>
      <w:r>
        <w:rPr>
          <w:b/>
          <w:sz w:val="24"/>
        </w:rPr>
        <w:t>Agenda item:</w:t>
      </w:r>
      <w:r>
        <w:rPr>
          <w:sz w:val="24"/>
        </w:rPr>
        <w:tab/>
      </w:r>
      <w:r>
        <w:rPr>
          <w:rFonts w:hint="eastAsia"/>
          <w:sz w:val="24"/>
          <w:lang w:val="en-US"/>
        </w:rPr>
        <w:t>11</w:t>
      </w:r>
      <w:r>
        <w:rPr>
          <w:sz w:val="24"/>
        </w:rPr>
        <w:t>.2</w:t>
      </w:r>
    </w:p>
    <w:p>
      <w:pPr>
        <w:tabs>
          <w:tab w:val="left" w:pos="1985"/>
        </w:tabs>
        <w:ind w:left="1980" w:hanging="1980"/>
        <w:rPr>
          <w:rStyle w:val="78"/>
        </w:rPr>
      </w:pPr>
      <w:r>
        <w:rPr>
          <w:b/>
          <w:sz w:val="24"/>
        </w:rPr>
        <w:t>Document Type:</w:t>
      </w:r>
      <w:r>
        <w:rPr>
          <w:sz w:val="24"/>
        </w:rPr>
        <w:tab/>
      </w:r>
      <w:r>
        <w:rPr>
          <w:rFonts w:hint="eastAsia"/>
          <w:sz w:val="24"/>
        </w:rPr>
        <w:t>D</w:t>
      </w:r>
      <w:r>
        <w:rPr>
          <w:sz w:val="24"/>
        </w:rPr>
        <w:t>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hint="eastAsia" w:ascii="Times New Roman" w:hAnsi="Times New Roman" w:eastAsia="宋体"/>
          <w:sz w:val="21"/>
          <w:szCs w:val="21"/>
          <w:lang w:val="en-US"/>
        </w:rPr>
        <w:t>6</w:t>
      </w:r>
      <w:r>
        <w:rPr>
          <w:rFonts w:ascii="Times New Roman" w:hAnsi="Times New Roman"/>
          <w:sz w:val="21"/>
          <w:szCs w:val="21"/>
        </w:rPr>
        <w:t xml:space="preserve"> (RP-2</w:t>
      </w:r>
      <w:r>
        <w:rPr>
          <w:rFonts w:hint="eastAsia" w:ascii="Times New Roman" w:hAnsi="Times New Roman" w:eastAsia="宋体"/>
          <w:sz w:val="21"/>
          <w:szCs w:val="21"/>
          <w:lang w:val="en-US"/>
        </w:rPr>
        <w:t>21803</w:t>
      </w:r>
      <w:r>
        <w:rPr>
          <w:rFonts w:ascii="Times New Roman" w:hAnsi="Times New Roman"/>
          <w:sz w:val="21"/>
          <w:szCs w:val="21"/>
        </w:rPr>
        <w:t>) with the following objectives: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sz w:val="21"/>
                <w:szCs w:val="21"/>
              </w:rPr>
            </w:pPr>
            <w:r>
              <w:rPr>
                <w:rFonts w:ascii="Times New Roman" w:hAnsi="Times New Roman"/>
                <w:bCs/>
                <w:sz w:val="22"/>
                <w:szCs w:val="21"/>
              </w:rPr>
              <w:t>Specify the new service and the existing service defined or to be supported by SA4, combined with high mobility scenarios, e.g., High Speed Trains.</w:t>
            </w:r>
          </w:p>
          <w:p>
            <w:pPr>
              <w:numPr>
                <w:ilvl w:val="0"/>
                <w:numId w:val="5"/>
              </w:numPr>
              <w:spacing w:before="120" w:beforeLines="50" w:after="0"/>
              <w:rPr>
                <w:rFonts w:ascii="Times New Roman" w:hAnsi="Times New Roman"/>
                <w:bCs/>
                <w:sz w:val="21"/>
                <w:szCs w:val="21"/>
              </w:rPr>
            </w:pPr>
            <w:r>
              <w:rPr>
                <w:rFonts w:ascii="Times New Roman" w:hAnsi="Times New Roman"/>
                <w:bCs/>
                <w:sz w:val="21"/>
                <w:szCs w:val="21"/>
              </w:rPr>
              <w:t>Specify for QoE measurement</w:t>
            </w:r>
            <w:r>
              <w:rPr>
                <w:rFonts w:ascii="Times New Roman" w:hAnsi="Times New Roman"/>
                <w:bCs/>
                <w:sz w:val="21"/>
                <w:szCs w:val="21"/>
                <w:lang w:val="en-US"/>
              </w:rPr>
              <w:t xml:space="preserve"> configuration and</w:t>
            </w:r>
            <w:r>
              <w:rPr>
                <w:rFonts w:ascii="Times New Roman" w:hAnsi="Times New Roman"/>
                <w:bCs/>
                <w:sz w:val="21"/>
                <w:szCs w:val="21"/>
              </w:rPr>
              <w:t xml:space="preserve"> collection </w:t>
            </w:r>
            <w:r>
              <w:rPr>
                <w:rFonts w:ascii="Times New Roman" w:hAnsi="Times New Roman"/>
                <w:bCs/>
                <w:sz w:val="21"/>
                <w:szCs w:val="21"/>
                <w:lang w:val="en-US"/>
              </w:rPr>
              <w:t>in RRC_INACTIVE and RRC_IDLE states</w:t>
            </w:r>
            <w:r>
              <w:rPr>
                <w:rFonts w:ascii="Times New Roman" w:hAnsi="Times New Roman"/>
                <w:bCs/>
                <w:sz w:val="21"/>
                <w:szCs w:val="21"/>
              </w:rPr>
              <w:t xml:space="preserve"> </w:t>
            </w:r>
            <w:r>
              <w:rPr>
                <w:rFonts w:ascii="Times New Roman" w:hAnsi="Times New Roman"/>
                <w:bCs/>
                <w:sz w:val="21"/>
                <w:szCs w:val="21"/>
                <w:lang w:val="en-US"/>
              </w:rPr>
              <w:t xml:space="preserve">for MBS, at least </w:t>
            </w:r>
            <w:r>
              <w:rPr>
                <w:rFonts w:ascii="Times New Roman" w:hAnsi="Times New Roman"/>
                <w:bCs/>
                <w:sz w:val="21"/>
                <w:szCs w:val="21"/>
              </w:rPr>
              <w:t xml:space="preserve">for </w:t>
            </w:r>
            <w:r>
              <w:rPr>
                <w:rFonts w:ascii="Times New Roman" w:hAnsi="Times New Roman"/>
                <w:bCs/>
                <w:sz w:val="21"/>
                <w:szCs w:val="21"/>
                <w:lang w:val="en-US"/>
              </w:rPr>
              <w:t xml:space="preserve">broadcast </w:t>
            </w:r>
            <w:r>
              <w:rPr>
                <w:rFonts w:ascii="Times New Roman" w:hAnsi="Times New Roman"/>
                <w:bCs/>
                <w:sz w:val="21"/>
                <w:szCs w:val="21"/>
              </w:rPr>
              <w:t>service</w:t>
            </w:r>
            <w:r>
              <w:rPr>
                <w:rFonts w:ascii="Times New Roman" w:hAnsi="Times New Roman"/>
                <w:bCs/>
                <w:sz w:val="21"/>
                <w:szCs w:val="21"/>
                <w:lang w:val="en-US"/>
              </w:rPr>
              <w:t xml:space="preserve"> </w:t>
            </w:r>
            <w:r>
              <w:rPr>
                <w:rFonts w:ascii="Times New Roman" w:hAnsi="Times New Roman"/>
                <w:bCs/>
                <w:sz w:val="21"/>
                <w:szCs w:val="21"/>
              </w:rPr>
              <w:t>[RAN3, RAN2].</w:t>
            </w:r>
          </w:p>
          <w:p>
            <w:pPr>
              <w:numPr>
                <w:ilvl w:val="0"/>
                <w:numId w:val="6"/>
              </w:numPr>
              <w:spacing w:after="0"/>
              <w:rPr>
                <w:rFonts w:ascii="Times New Roman" w:hAnsi="Times New Roman"/>
                <w:sz w:val="21"/>
                <w:szCs w:val="21"/>
              </w:rPr>
            </w:pPr>
            <w:r>
              <w:rPr>
                <w:rFonts w:ascii="Times New Roman" w:hAnsi="Times New Roman"/>
                <w:bCs/>
                <w:sz w:val="21"/>
                <w:szCs w:val="21"/>
              </w:rPr>
              <w:t xml:space="preserve">Specify the mechanism to support the alignment of </w:t>
            </w:r>
            <w:r>
              <w:rPr>
                <w:rFonts w:ascii="Times New Roman" w:hAnsi="Times New Roman"/>
                <w:bCs/>
                <w:sz w:val="21"/>
                <w:szCs w:val="21"/>
                <w:lang w:val="en-US"/>
              </w:rPr>
              <w:t xml:space="preserve">the existing </w:t>
            </w:r>
            <w:r>
              <w:rPr>
                <w:rFonts w:ascii="Times New Roman" w:hAnsi="Times New Roman"/>
                <w:bCs/>
                <w:sz w:val="21"/>
                <w:szCs w:val="21"/>
              </w:rPr>
              <w:t>radio related measurement and QoE reporting.</w:t>
            </w:r>
          </w:p>
        </w:tc>
      </w:tr>
    </w:tbl>
    <w:p>
      <w:pPr>
        <w:rPr>
          <w:rFonts w:ascii="Times New Roman" w:hAnsi="Times New Roman" w:eastAsia="等线"/>
          <w:sz w:val="21"/>
          <w:szCs w:val="21"/>
          <w:lang w:val="en-US"/>
        </w:rPr>
      </w:pPr>
    </w:p>
    <w:p>
      <w:pPr>
        <w:rPr>
          <w:rFonts w:ascii="Times New Roman" w:hAnsi="Times New Roman" w:eastAsia="宋体"/>
          <w:sz w:val="21"/>
          <w:szCs w:val="21"/>
          <w:lang w:val="en-US"/>
        </w:rPr>
      </w:pPr>
      <w:r>
        <w:rPr>
          <w:rStyle w:val="44"/>
          <w:rFonts w:ascii="Times New Roman" w:hAnsi="Times New Roman"/>
          <w:sz w:val="21"/>
          <w:szCs w:val="21"/>
          <w:lang w:val="en-GB"/>
        </w:rPr>
        <w:t xml:space="preserve">This paper discusses to support </w:t>
      </w:r>
      <w:r>
        <w:rPr>
          <w:rStyle w:val="44"/>
          <w:rFonts w:ascii="Times New Roman" w:hAnsi="Times New Roman" w:eastAsia="等线"/>
          <w:sz w:val="21"/>
          <w:szCs w:val="21"/>
        </w:rPr>
        <w:t>the</w:t>
      </w:r>
      <w:r>
        <w:rPr>
          <w:rStyle w:val="44"/>
          <w:rFonts w:hint="eastAsia" w:ascii="Times New Roman" w:hAnsi="Times New Roman" w:eastAsia="等线"/>
          <w:sz w:val="21"/>
          <w:szCs w:val="21"/>
        </w:rPr>
        <w:t xml:space="preserve"> QoE measurement configuration and reporting in RRC_INACTIVE and RRC_IDLE states for MBS service,</w:t>
      </w:r>
      <w:r>
        <w:rPr>
          <w:rStyle w:val="44"/>
          <w:rFonts w:ascii="Times New Roman" w:hAnsi="Times New Roman" w:eastAsia="等线"/>
          <w:sz w:val="21"/>
          <w:szCs w:val="21"/>
        </w:rPr>
        <w:t xml:space="preserve"> as well for the high mobility scenarios</w:t>
      </w:r>
      <w:r>
        <w:rPr>
          <w:rFonts w:ascii="Times New Roman" w:hAnsi="Times New Roman" w:eastAsia="宋体"/>
          <w:sz w:val="21"/>
          <w:szCs w:val="21"/>
          <w:lang w:val="en-US"/>
        </w:rPr>
        <w:t>.</w:t>
      </w:r>
    </w:p>
    <w:p>
      <w:pPr>
        <w:rPr>
          <w:rFonts w:ascii="Times New Roman" w:hAnsi="Times New Roman" w:eastAsia="宋体"/>
          <w:sz w:val="21"/>
          <w:szCs w:val="21"/>
          <w:lang w:val="en-US"/>
        </w:rPr>
      </w:pP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bCs/>
          <w:lang w:val="en-US"/>
        </w:rPr>
      </w:pPr>
      <w:r>
        <w:rPr>
          <w:rFonts w:hint="eastAsia" w:ascii="Times New Roman" w:hAnsi="Times New Roman" w:cs="Times New Roman"/>
          <w:lang w:val="en-US"/>
        </w:rPr>
        <w:t xml:space="preserve">QoE configuration </w:t>
      </w:r>
      <w:r>
        <w:rPr>
          <w:rFonts w:ascii="Times New Roman" w:hAnsi="Times New Roman" w:cs="Times New Roman"/>
          <w:lang w:val="en-US"/>
        </w:rPr>
        <w:t>information for</w:t>
      </w:r>
      <w:r>
        <w:rPr>
          <w:rFonts w:hint="eastAsia" w:ascii="Times New Roman" w:hAnsi="Times New Roman" w:eastAsia="等线" w:cs="Times New Roman"/>
          <w:bCs/>
          <w:lang w:val="en-US"/>
        </w:rPr>
        <w:t xml:space="preserve"> </w:t>
      </w:r>
      <w:r>
        <w:rPr>
          <w:rFonts w:ascii="Times New Roman" w:hAnsi="Times New Roman" w:eastAsia="等线" w:cs="Times New Roman"/>
          <w:bCs/>
          <w:lang w:val="en-US"/>
        </w:rPr>
        <w:t>MBS in RRC_CONNECTED from</w:t>
      </w:r>
      <w:r>
        <w:rPr>
          <w:rFonts w:ascii="Times New Roman" w:hAnsi="Times New Roman" w:cs="Times New Roman"/>
          <w:bCs/>
          <w:lang w:val="en-US"/>
        </w:rPr>
        <w:t xml:space="preserve"> RRC_INACTIVE and RRC_IDLE states</w:t>
      </w:r>
    </w:p>
    <w:p>
      <w:pPr>
        <w:rPr>
          <w:rFonts w:ascii="Times New Roman" w:hAnsi="Times New Roman" w:eastAsia="宋体"/>
          <w:bCs/>
          <w:lang w:val="en-US"/>
        </w:rPr>
      </w:pPr>
      <w:r>
        <w:rPr>
          <w:rFonts w:hint="eastAsia" w:ascii="Times New Roman" w:hAnsi="Times New Roman" w:eastAsia="宋体"/>
          <w:bCs/>
          <w:lang w:val="en-US"/>
        </w:rPr>
        <w:t>In</w:t>
      </w:r>
      <w:r>
        <w:rPr>
          <w:rFonts w:ascii="Times New Roman" w:hAnsi="Times New Roman" w:eastAsia="宋体"/>
          <w:bCs/>
          <w:lang w:val="en-US"/>
        </w:rPr>
        <w:t xml:space="preserve"> </w:t>
      </w:r>
      <w:r>
        <w:rPr>
          <w:rFonts w:hint="eastAsia" w:ascii="Times New Roman" w:hAnsi="Times New Roman" w:eastAsia="宋体"/>
          <w:bCs/>
          <w:lang w:val="en-US"/>
        </w:rPr>
        <w:t>last</w:t>
      </w:r>
      <w:r>
        <w:rPr>
          <w:rFonts w:ascii="Times New Roman" w:hAnsi="Times New Roman" w:eastAsia="宋体"/>
          <w:bCs/>
          <w:lang w:val="en-US"/>
        </w:rPr>
        <w:t xml:space="preserve"> </w:t>
      </w:r>
      <w:r>
        <w:rPr>
          <w:rFonts w:hint="eastAsia" w:ascii="Times New Roman" w:hAnsi="Times New Roman" w:eastAsia="宋体"/>
          <w:bCs/>
          <w:lang w:val="en-US"/>
        </w:rPr>
        <w:t>meeting,</w:t>
      </w:r>
      <w:r>
        <w:rPr>
          <w:rFonts w:ascii="Times New Roman" w:hAnsi="Times New Roman" w:eastAsia="宋体"/>
          <w:bCs/>
          <w:lang w:val="en-US"/>
        </w:rPr>
        <w:t xml:space="preserve"> we received the reply LS from RAN2 in R3-235796 below:</w:t>
      </w:r>
    </w:p>
    <w:p>
      <w:pPr>
        <w:rPr>
          <w:rFonts w:ascii="Times New Roman" w:hAnsi="Times New Roman" w:eastAsia="宋体"/>
          <w:bCs/>
          <w:lang w:val="en-US"/>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cs="Arial"/>
                <w:i/>
              </w:rPr>
            </w:pPr>
            <w:r>
              <w:rPr>
                <w:rFonts w:cs="Arial"/>
                <w:i/>
              </w:rPr>
              <w:t>Q1 from RAN3: RAN3 respectfully asks RAN2 to inform RAN3 whether there are any technical issues with storing and retrieval of the above listed QoE measurement configuration information at UE.</w:t>
            </w:r>
          </w:p>
          <w:p>
            <w:pPr>
              <w:rPr>
                <w:rFonts w:cs="Arial"/>
              </w:rPr>
            </w:pPr>
            <w:r>
              <w:rPr>
                <w:rFonts w:hint="eastAsia" w:cs="Arial"/>
                <w:b/>
              </w:rPr>
              <w:t>A</w:t>
            </w:r>
            <w:r>
              <w:rPr>
                <w:rFonts w:cs="Arial"/>
                <w:b/>
              </w:rPr>
              <w:t>nswer to Q1</w:t>
            </w:r>
            <w:r>
              <w:rPr>
                <w:rFonts w:cs="Arial"/>
              </w:rPr>
              <w:t>: There is some background for information: according to the calculation of overhead of possible stored QoE configurations, in the worst-case scenario (16 QoE configurations, IPv6 used as a MCE identification, area scope expressed with 32 NCGIs for each QoE configuration), the size of the QoE data that has to be received/stored at the UE and provided to the gNB has a size of 32696 bits, i.e. ~4 kBytes.</w:t>
            </w:r>
          </w:p>
          <w:p>
            <w:pPr>
              <w:rPr>
                <w:rFonts w:ascii="Times New Roman" w:hAnsi="Times New Roman" w:eastAsia="宋体"/>
                <w:bCs/>
              </w:rPr>
            </w:pPr>
          </w:p>
          <w:p>
            <w:pPr>
              <w:rPr>
                <w:rFonts w:cs="Arial"/>
                <w:highlight w:val="yellow"/>
              </w:rPr>
            </w:pPr>
            <w:r>
              <w:rPr>
                <w:rFonts w:cs="Arial"/>
              </w:rPr>
              <w:t>In RAN2#123bis, RAN2 agreed it is feasible for gNB to store and retrieve IDLE/INACTIVE QoE configurations via UE based solution. RAN2 discussed and identified some concerns as below, but it won’t block the feasibility of UE based solution:</w:t>
            </w:r>
          </w:p>
          <w:p>
            <w:pPr>
              <w:rPr>
                <w:rFonts w:ascii="Times New Roman" w:hAnsi="Times New Roman" w:eastAsia="宋体"/>
                <w:bCs/>
              </w:rPr>
            </w:pPr>
          </w:p>
          <w:p>
            <w:pPr>
              <w:rPr>
                <w:rFonts w:cs="Arial"/>
                <w:i/>
              </w:rPr>
            </w:pPr>
            <w:r>
              <w:rPr>
                <w:rFonts w:hint="eastAsia" w:cs="Arial"/>
                <w:i/>
              </w:rPr>
              <w:t>Q</w:t>
            </w:r>
            <w:r>
              <w:rPr>
                <w:rFonts w:cs="Arial"/>
                <w:i/>
              </w:rPr>
              <w:t>2 From RAN3: RAN3 asked RAN2 to discuss how to ensure that the gNB serving the UE upon transition from the RRC_IDLE to the RRC_CONNECTED state, is aware of whether there are ongoing QoE measurements for MBS.</w:t>
            </w:r>
          </w:p>
          <w:p>
            <w:pPr>
              <w:rPr>
                <w:rFonts w:cs="Arial"/>
              </w:rPr>
            </w:pPr>
            <w:r>
              <w:rPr>
                <w:rFonts w:hint="eastAsia" w:cs="Arial"/>
                <w:b/>
              </w:rPr>
              <w:t>A</w:t>
            </w:r>
            <w:r>
              <w:rPr>
                <w:rFonts w:cs="Arial"/>
                <w:b/>
              </w:rPr>
              <w:t>nswer to Q2</w:t>
            </w:r>
            <w:r>
              <w:rPr>
                <w:rFonts w:cs="Arial"/>
              </w:rPr>
              <w:t>: To ensure that the gNB serving the UE upon transition from the RRC_IDLE to the RRC_CONNECTED state, is aware of whether there are ongoing QoE measurement sessions for MBS, companies agree to transmit the session status indication from UE to gNB when the UE moves from RRC IDLE/INACTIVE to RRC_CONNECTED state. Detailed RRC procedures are FFS in RAN2.</w:t>
            </w:r>
          </w:p>
          <w:p>
            <w:pPr>
              <w:rPr>
                <w:rFonts w:ascii="Times New Roman" w:hAnsi="Times New Roman" w:eastAsia="宋体"/>
                <w:bCs/>
              </w:rPr>
            </w:pPr>
          </w:p>
        </w:tc>
      </w:tr>
    </w:tbl>
    <w:p>
      <w:pPr>
        <w:rPr>
          <w:rFonts w:ascii="Times New Roman" w:hAnsi="Times New Roman" w:eastAsia="宋体"/>
          <w:bCs/>
          <w:lang w:val="en-US"/>
        </w:rPr>
      </w:pPr>
    </w:p>
    <w:p>
      <w:pPr>
        <w:rPr>
          <w:rFonts w:ascii="Times New Roman" w:hAnsi="Times New Roman" w:eastAsia="宋体"/>
          <w:bCs/>
          <w:lang w:val="en-US"/>
        </w:rPr>
      </w:pPr>
      <w:r>
        <w:rPr>
          <w:rFonts w:ascii="Times New Roman" w:hAnsi="Times New Roman" w:eastAsia="宋体"/>
          <w:bCs/>
          <w:lang w:val="en-US"/>
        </w:rPr>
        <w:t>Thanks to carefully discussion in the last meeting, we have the WA below:</w:t>
      </w:r>
    </w:p>
    <w:p>
      <w:pPr>
        <w:rPr>
          <w:rFonts w:ascii="Calibri" w:hAnsi="Calibri" w:cs="Calibri"/>
          <w:b/>
          <w:color w:val="008000"/>
          <w:sz w:val="18"/>
        </w:rPr>
      </w:pPr>
      <w:r>
        <w:rPr>
          <w:rFonts w:ascii="Calibri" w:hAnsi="Calibri" w:cs="Calibri"/>
          <w:b/>
          <w:color w:val="008000"/>
          <w:sz w:val="18"/>
        </w:rPr>
        <w:t xml:space="preserve">WA: UE based solution for IDLE QoE configuration retrieve in Rel-18 IDLE/INACTIVE QoE. </w:t>
      </w:r>
    </w:p>
    <w:p>
      <w:pPr>
        <w:rPr>
          <w:rFonts w:ascii="Times New Roman" w:hAnsi="Times New Roman" w:eastAsia="宋体"/>
          <w:bCs/>
        </w:rPr>
      </w:pPr>
    </w:p>
    <w:p>
      <w:pPr>
        <w:rPr>
          <w:rFonts w:ascii="Times New Roman" w:hAnsi="Times New Roman" w:eastAsia="宋体"/>
          <w:bCs/>
        </w:rPr>
      </w:pPr>
      <w:r>
        <w:rPr>
          <w:rFonts w:ascii="Times New Roman" w:hAnsi="Times New Roman" w:eastAsia="宋体"/>
          <w:bCs/>
        </w:rPr>
        <w:t xml:space="preserve">As illustrated in the reply LS from RAN2, there is no technical issue for UE-based solution, and RAN2 can </w:t>
      </w:r>
      <w:r>
        <w:rPr>
          <w:rFonts w:hint="eastAsia" w:ascii="Times New Roman" w:hAnsi="Times New Roman" w:eastAsia="宋体"/>
          <w:bCs/>
        </w:rPr>
        <w:t>work</w:t>
      </w:r>
      <w:r>
        <w:rPr>
          <w:rFonts w:ascii="Times New Roman" w:hAnsi="Times New Roman" w:eastAsia="宋体"/>
          <w:bCs/>
        </w:rPr>
        <w:t xml:space="preserve"> </w:t>
      </w:r>
      <w:r>
        <w:rPr>
          <w:rFonts w:hint="eastAsia" w:ascii="Times New Roman" w:hAnsi="Times New Roman" w:eastAsia="宋体"/>
          <w:bCs/>
        </w:rPr>
        <w:t>on</w:t>
      </w:r>
      <w:r>
        <w:rPr>
          <w:rFonts w:ascii="Times New Roman" w:hAnsi="Times New Roman" w:eastAsia="宋体"/>
          <w:bCs/>
        </w:rPr>
        <w:t xml:space="preserve"> them in their coming meeting. On the other hand, we did not receive any response from SA2 due to some reasons. Considering there is only one meeting left for the Rel-18</w:t>
      </w:r>
      <w:r>
        <w:rPr>
          <w:rFonts w:hint="eastAsia" w:ascii="Times New Roman" w:hAnsi="Times New Roman" w:eastAsia="宋体"/>
          <w:bCs/>
          <w:lang w:val="en-US"/>
        </w:rPr>
        <w:t xml:space="preserve"> work item</w:t>
      </w:r>
      <w:r>
        <w:rPr>
          <w:rFonts w:ascii="Times New Roman" w:hAnsi="Times New Roman" w:eastAsia="宋体"/>
          <w:bCs/>
        </w:rPr>
        <w:t xml:space="preserve">, in order to </w:t>
      </w:r>
      <w:r>
        <w:rPr>
          <w:rFonts w:hint="eastAsia" w:ascii="Times New Roman" w:hAnsi="Times New Roman" w:eastAsia="宋体"/>
          <w:bCs/>
          <w:lang w:val="en-US"/>
        </w:rPr>
        <w:t xml:space="preserve">complete </w:t>
      </w:r>
      <w:r>
        <w:rPr>
          <w:rFonts w:ascii="Times New Roman" w:hAnsi="Times New Roman" w:eastAsia="宋体"/>
          <w:bCs/>
        </w:rPr>
        <w:t xml:space="preserve">the WI on time, we propose </w:t>
      </w:r>
      <w:r>
        <w:rPr>
          <w:rFonts w:hint="eastAsia" w:ascii="Times New Roman" w:hAnsi="Times New Roman" w:eastAsia="宋体"/>
          <w:bCs/>
          <w:lang w:val="en-US"/>
        </w:rPr>
        <w:t>that RAN3</w:t>
      </w:r>
      <w:r>
        <w:rPr>
          <w:rFonts w:ascii="Times New Roman" w:hAnsi="Times New Roman" w:eastAsia="宋体"/>
          <w:bCs/>
        </w:rPr>
        <w:t xml:space="preserve"> </w:t>
      </w:r>
      <w:r>
        <w:rPr>
          <w:rFonts w:hint="eastAsia" w:ascii="Times New Roman" w:hAnsi="Times New Roman" w:eastAsia="宋体"/>
          <w:bCs/>
          <w:lang w:val="en-US"/>
        </w:rPr>
        <w:t xml:space="preserve">agree to adopt </w:t>
      </w:r>
      <w:r>
        <w:rPr>
          <w:rFonts w:ascii="Times New Roman" w:hAnsi="Times New Roman" w:eastAsia="宋体"/>
          <w:bCs/>
        </w:rPr>
        <w:t>UE-based solution for storing IDLE QoE configuration.</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1</w:t>
      </w:r>
      <w:r>
        <w:rPr>
          <w:rFonts w:hint="eastAsia" w:ascii="Times New Roman" w:hAnsi="Times New Roman" w:eastAsia="宋体"/>
          <w:b/>
          <w:bCs/>
          <w:lang w:val="en-US"/>
        </w:rPr>
        <w:t>:</w:t>
      </w:r>
      <w:r>
        <w:rPr>
          <w:rFonts w:ascii="Times New Roman" w:hAnsi="Times New Roman" w:eastAsia="宋体"/>
          <w:b/>
          <w:bCs/>
          <w:lang w:val="en-US"/>
        </w:rPr>
        <w:t xml:space="preserve"> Turn WA to agreement: UE based solution for IDLE QoE configuration retrieve in Rel-18 IDLE/INACTIVE QoE.</w:t>
      </w:r>
    </w:p>
    <w:p>
      <w:pPr>
        <w:rPr>
          <w:rFonts w:ascii="Times New Roman" w:hAnsi="Times New Roman" w:eastAsia="宋体"/>
          <w:bCs/>
          <w:lang w:val="en-US"/>
        </w:rPr>
      </w:pPr>
    </w:p>
    <w:p>
      <w:pPr>
        <w:rPr>
          <w:rFonts w:ascii="Times New Roman" w:hAnsi="Times New Roman" w:eastAsia="宋体"/>
          <w:bCs/>
        </w:rPr>
      </w:pPr>
      <w:r>
        <w:rPr>
          <w:rFonts w:ascii="Times New Roman" w:hAnsi="Times New Roman" w:eastAsia="宋体"/>
          <w:bCs/>
          <w:lang w:val="en-US"/>
        </w:rPr>
        <w:t>Meanwhile, for what the information should be available by the</w:t>
      </w:r>
      <w:r>
        <w:t xml:space="preserve"> </w:t>
      </w:r>
      <w:r>
        <w:rPr>
          <w:rFonts w:ascii="Times New Roman" w:hAnsi="Times New Roman" w:eastAsia="宋体"/>
          <w:bCs/>
          <w:lang w:val="en-US"/>
        </w:rPr>
        <w:t>gNB serving the UE when the UE returns from RRC_IDLE to RRC_CONNECTED, we have some discussion in last meeting:</w:t>
      </w:r>
    </w:p>
    <w:p>
      <w:pPr>
        <w:rPr>
          <w:rFonts w:ascii="Calibri" w:hAnsi="Calibri" w:cs="Calibri"/>
          <w:b/>
          <w:color w:val="008000"/>
          <w:sz w:val="18"/>
          <w:lang w:eastAsia="en-US"/>
        </w:rPr>
      </w:pPr>
      <w:r>
        <w:rPr>
          <w:rFonts w:ascii="Calibri" w:hAnsi="Calibri" w:cs="Calibri"/>
          <w:b/>
          <w:color w:val="008000"/>
          <w:sz w:val="18"/>
          <w:lang w:eastAsia="en-US"/>
        </w:rPr>
        <w:t>Introduce priority information as assistance information over NG.</w:t>
      </w:r>
    </w:p>
    <w:p>
      <w:pPr>
        <w:rPr>
          <w:rFonts w:ascii="Calibri" w:hAnsi="Calibri" w:cs="Calibri"/>
          <w:b/>
          <w:color w:val="0000FF"/>
          <w:sz w:val="18"/>
          <w:lang w:eastAsia="en-US"/>
        </w:rPr>
      </w:pPr>
      <w:r>
        <w:rPr>
          <w:rFonts w:ascii="Calibri" w:hAnsi="Calibri" w:cs="Calibri"/>
          <w:b/>
          <w:color w:val="0000FF"/>
          <w:sz w:val="18"/>
          <w:lang w:eastAsia="en-US"/>
        </w:rPr>
        <w:t>For MBS QoE, FFS whether MDT alignment indication may be available by gNB serving the UE when the UE returns from RRC_IDLE to RRC_CONNECTED.</w:t>
      </w:r>
    </w:p>
    <w:p>
      <w:pPr>
        <w:rPr>
          <w:rFonts w:ascii="Times New Roman" w:hAnsi="Times New Roman" w:eastAsia="宋体"/>
          <w:bCs/>
        </w:rPr>
      </w:pPr>
    </w:p>
    <w:p>
      <w:pPr>
        <w:rPr>
          <w:rFonts w:ascii="Times New Roman" w:hAnsi="Times New Roman" w:eastAsia="宋体"/>
          <w:bCs/>
          <w:lang w:val="en-US"/>
        </w:rPr>
      </w:pPr>
      <w:r>
        <w:rPr>
          <w:rFonts w:ascii="Times New Roman" w:hAnsi="Times New Roman" w:eastAsia="宋体"/>
          <w:bCs/>
          <w:lang w:val="en-US"/>
        </w:rPr>
        <w:t xml:space="preserve">For priority information, as we have already agreed to introduce it as assistance information, it should be also available at the serving gNB for </w:t>
      </w:r>
      <w:r>
        <w:rPr>
          <w:rFonts w:hint="eastAsia" w:ascii="Times New Roman" w:hAnsi="Times New Roman" w:eastAsia="宋体"/>
          <w:bCs/>
          <w:lang w:val="en-US"/>
        </w:rPr>
        <w:t>some potential</w:t>
      </w:r>
      <w:r>
        <w:rPr>
          <w:rFonts w:ascii="Times New Roman" w:hAnsi="Times New Roman" w:eastAsia="宋体"/>
          <w:bCs/>
          <w:lang w:val="en-US"/>
        </w:rPr>
        <w:t xml:space="preserve"> overload scenarios in the future.</w:t>
      </w:r>
    </w:p>
    <w:p>
      <w:pPr>
        <w:rPr>
          <w:rFonts w:ascii="Times New Roman" w:hAnsi="Times New Roman" w:eastAsia="宋体"/>
          <w:b/>
          <w:bCs/>
          <w:lang w:val="en-US"/>
        </w:rPr>
      </w:pPr>
    </w:p>
    <w:p>
      <w:pPr>
        <w:rPr>
          <w:rFonts w:ascii="Times New Roman" w:hAnsi="Times New Roman" w:eastAsia="宋体"/>
          <w:bCs/>
          <w:lang w:val="en-US"/>
        </w:rPr>
      </w:pPr>
      <w:r>
        <w:rPr>
          <w:rFonts w:ascii="Times New Roman" w:hAnsi="Times New Roman" w:eastAsia="宋体"/>
          <w:bCs/>
          <w:lang w:val="en-US"/>
        </w:rPr>
        <w:t xml:space="preserve">With respect to MDT alignment indication, there will be only logged MDT measurement when UE in idle states. For </w:t>
      </w:r>
      <w:r>
        <w:rPr>
          <w:rFonts w:hint="eastAsia" w:ascii="Times New Roman" w:hAnsi="Times New Roman" w:eastAsia="宋体"/>
          <w:bCs/>
          <w:lang w:val="en-US"/>
        </w:rPr>
        <w:t xml:space="preserve">the </w:t>
      </w:r>
      <w:r>
        <w:rPr>
          <w:rFonts w:ascii="Times New Roman" w:hAnsi="Times New Roman" w:eastAsia="宋体"/>
          <w:bCs/>
          <w:lang w:val="en-US"/>
        </w:rPr>
        <w:t>alignment issue, the OAM should configure a corresponding immediate MDT measurement at the very beginning for configuring the MBS Qo</w:t>
      </w:r>
      <w:r>
        <w:rPr>
          <w:rFonts w:hint="eastAsia" w:ascii="Times New Roman" w:hAnsi="Times New Roman" w:eastAsia="宋体"/>
          <w:bCs/>
          <w:lang w:val="en-US"/>
        </w:rPr>
        <w:t>E</w:t>
      </w:r>
      <w:r>
        <w:rPr>
          <w:rFonts w:ascii="Times New Roman" w:hAnsi="Times New Roman" w:eastAsia="宋体"/>
          <w:bCs/>
          <w:lang w:val="en-US"/>
        </w:rPr>
        <w:t xml:space="preserve"> since UE can only be configured </w:t>
      </w:r>
      <w:r>
        <w:rPr>
          <w:rFonts w:hint="eastAsia" w:ascii="Times New Roman" w:hAnsi="Times New Roman" w:eastAsia="宋体"/>
          <w:bCs/>
          <w:lang w:val="en-US"/>
        </w:rPr>
        <w:t xml:space="preserve">in </w:t>
      </w:r>
      <w:r>
        <w:rPr>
          <w:rFonts w:ascii="Times New Roman" w:hAnsi="Times New Roman" w:eastAsia="宋体"/>
          <w:bCs/>
          <w:lang w:val="en-US"/>
        </w:rPr>
        <w:t xml:space="preserve">RRC_CONNECTED state. As the immediate MDT measurement would be released when UE enters </w:t>
      </w:r>
      <w:r>
        <w:rPr>
          <w:rFonts w:hint="eastAsia" w:ascii="Times New Roman" w:hAnsi="Times New Roman" w:eastAsia="宋体"/>
          <w:bCs/>
          <w:lang w:val="en-US"/>
        </w:rPr>
        <w:t xml:space="preserve">into </w:t>
      </w:r>
      <w:r>
        <w:rPr>
          <w:rFonts w:ascii="Times New Roman" w:hAnsi="Times New Roman" w:eastAsia="宋体"/>
          <w:bCs/>
          <w:lang w:val="en-US"/>
        </w:rPr>
        <w:t xml:space="preserve">RRC_IDLE state, </w:t>
      </w:r>
      <w:r>
        <w:rPr>
          <w:rFonts w:hint="eastAsia" w:ascii="Times New Roman" w:hAnsi="Times New Roman" w:eastAsia="宋体"/>
          <w:bCs/>
          <w:lang w:val="en-US"/>
        </w:rPr>
        <w:t>there is no</w:t>
      </w:r>
      <w:r>
        <w:rPr>
          <w:rFonts w:ascii="Times New Roman" w:hAnsi="Times New Roman" w:eastAsia="宋体"/>
          <w:bCs/>
          <w:lang w:val="en-US"/>
        </w:rPr>
        <w:t xml:space="preserve"> </w:t>
      </w:r>
      <w:r>
        <w:rPr>
          <w:rFonts w:hint="eastAsia" w:ascii="Times New Roman" w:hAnsi="Times New Roman" w:eastAsia="宋体"/>
          <w:bCs/>
          <w:lang w:val="en-US"/>
        </w:rPr>
        <w:t xml:space="preserve">obvious </w:t>
      </w:r>
      <w:r>
        <w:rPr>
          <w:rFonts w:ascii="Times New Roman" w:hAnsi="Times New Roman" w:eastAsia="宋体"/>
          <w:bCs/>
          <w:lang w:val="en-US"/>
        </w:rPr>
        <w:t>benefit</w:t>
      </w:r>
      <w:r>
        <w:rPr>
          <w:rFonts w:hint="eastAsia" w:ascii="Times New Roman" w:hAnsi="Times New Roman" w:eastAsia="宋体"/>
          <w:bCs/>
          <w:lang w:val="en-US"/>
        </w:rPr>
        <w:t>s</w:t>
      </w:r>
      <w:r>
        <w:rPr>
          <w:rFonts w:ascii="Times New Roman" w:hAnsi="Times New Roman" w:eastAsia="宋体"/>
          <w:bCs/>
          <w:lang w:val="en-US"/>
        </w:rPr>
        <w:t xml:space="preserve"> for introducing this MDT alignment indication.</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2</w:t>
      </w:r>
      <w:r>
        <w:rPr>
          <w:rFonts w:hint="eastAsia" w:ascii="Times New Roman" w:hAnsi="Times New Roman" w:eastAsia="宋体"/>
          <w:b/>
          <w:bCs/>
          <w:lang w:val="en-US"/>
        </w:rPr>
        <w:t>:</w:t>
      </w:r>
      <w:r>
        <w:rPr>
          <w:rFonts w:ascii="Times New Roman" w:hAnsi="Times New Roman" w:eastAsia="宋体"/>
          <w:b/>
          <w:bCs/>
          <w:lang w:val="en-US"/>
        </w:rPr>
        <w:t xml:space="preserve"> Priority information should be provided to gNB serving the UE when the UE returns from RRC_IDLE to RRC_CONNECTED. </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3</w:t>
      </w:r>
      <w:r>
        <w:rPr>
          <w:rFonts w:hint="eastAsia" w:ascii="Times New Roman" w:hAnsi="Times New Roman" w:eastAsia="宋体"/>
          <w:b/>
          <w:bCs/>
          <w:lang w:val="en-US"/>
        </w:rPr>
        <w:t>:</w:t>
      </w:r>
      <w:r>
        <w:rPr>
          <w:rFonts w:ascii="Times New Roman" w:hAnsi="Times New Roman" w:eastAsia="宋体"/>
          <w:b/>
          <w:bCs/>
          <w:lang w:val="en-US"/>
        </w:rPr>
        <w:t xml:space="preserve"> MDT alignment indication should not be provided to gNB serving the UE when the UE returns from RRC_IDLE to RRC_CONNECTED. </w:t>
      </w:r>
    </w:p>
    <w:p>
      <w:pPr>
        <w:rPr>
          <w:rFonts w:ascii="Times New Roman" w:hAnsi="Times New Roman" w:eastAsia="宋体"/>
          <w:b/>
          <w:bCs/>
          <w:lang w:val="en-US"/>
        </w:rPr>
      </w:pPr>
    </w:p>
    <w:p>
      <w:pPr>
        <w:rPr>
          <w:rFonts w:ascii="Times New Roman" w:hAnsi="Times New Roman" w:eastAsia="宋体"/>
          <w:b/>
          <w:bCs/>
          <w:lang w:val="en-US"/>
        </w:rPr>
      </w:pPr>
    </w:p>
    <w:p>
      <w:pPr>
        <w:rPr>
          <w:rFonts w:ascii="Times New Roman" w:hAnsi="Times New Roman" w:eastAsia="宋体"/>
          <w:bCs/>
          <w:lang w:val="en-US"/>
        </w:rPr>
      </w:pPr>
      <w:r>
        <w:rPr>
          <w:rFonts w:ascii="Times New Roman" w:hAnsi="Times New Roman" w:eastAsia="宋体"/>
          <w:bCs/>
          <w:lang w:val="en-US"/>
        </w:rPr>
        <w:t xml:space="preserve">When UE is in IDLE state, UE may store some QoE configurations in AS layer, UE may also release some QoE configurations </w:t>
      </w:r>
      <w:r>
        <w:rPr>
          <w:rFonts w:hint="eastAsia" w:ascii="Times New Roman" w:hAnsi="Times New Roman" w:eastAsia="宋体"/>
          <w:bCs/>
          <w:lang w:val="en-US"/>
        </w:rPr>
        <w:t xml:space="preserve">when the time </w:t>
      </w:r>
      <w:r>
        <w:rPr>
          <w:rFonts w:ascii="Times New Roman" w:hAnsi="Times New Roman" w:eastAsia="宋体"/>
          <w:bCs/>
          <w:lang w:val="en-US"/>
        </w:rPr>
        <w:t>expire</w:t>
      </w:r>
      <w:r>
        <w:rPr>
          <w:rFonts w:hint="eastAsia" w:ascii="Times New Roman" w:hAnsi="Times New Roman" w:eastAsia="宋体"/>
          <w:bCs/>
          <w:lang w:val="en-US"/>
        </w:rPr>
        <w:t>s</w:t>
      </w:r>
      <w:r>
        <w:rPr>
          <w:rFonts w:ascii="Times New Roman" w:hAnsi="Times New Roman" w:eastAsia="宋体"/>
          <w:bCs/>
          <w:lang w:val="en-US"/>
        </w:rPr>
        <w:t xml:space="preserve"> 48h. As companies support to transmit UE configuration ID to the gNB when </w:t>
      </w:r>
      <w:r>
        <w:rPr>
          <w:rFonts w:hint="eastAsia" w:ascii="Times New Roman" w:hAnsi="Times New Roman" w:eastAsia="宋体"/>
          <w:bCs/>
          <w:lang w:val="en-US"/>
        </w:rPr>
        <w:t xml:space="preserve">it </w:t>
      </w:r>
      <w:r>
        <w:rPr>
          <w:rFonts w:ascii="Times New Roman" w:hAnsi="Times New Roman" w:eastAsia="宋体"/>
          <w:bCs/>
          <w:lang w:val="en-US"/>
        </w:rPr>
        <w:t>moves to</w:t>
      </w:r>
      <w:r>
        <w:rPr>
          <w:rFonts w:hint="eastAsia" w:ascii="Times New Roman" w:hAnsi="Times New Roman" w:eastAsia="宋体"/>
          <w:bCs/>
          <w:lang w:val="en-US"/>
        </w:rPr>
        <w:t xml:space="preserve"> the</w:t>
      </w:r>
      <w:r>
        <w:rPr>
          <w:rFonts w:ascii="Times New Roman" w:hAnsi="Times New Roman" w:eastAsia="宋体"/>
          <w:bCs/>
          <w:lang w:val="en-US"/>
        </w:rPr>
        <w:t xml:space="preserve"> connected state, the gNB needs to calculate the number of QoE configurations (e.g. count the number of configuration ID) and then configure QoE configurations to the UE to ensure that QoE configurations measured in the UE are no more than 16. </w:t>
      </w:r>
      <w:r>
        <w:rPr>
          <w:rFonts w:hint="eastAsia" w:ascii="Times New Roman" w:hAnsi="Times New Roman" w:eastAsia="宋体"/>
          <w:bCs/>
          <w:lang w:val="en-US"/>
        </w:rPr>
        <w:t>If</w:t>
      </w:r>
      <w:r>
        <w:rPr>
          <w:rFonts w:ascii="Times New Roman" w:hAnsi="Times New Roman" w:eastAsia="宋体"/>
          <w:bCs/>
          <w:lang w:val="en-US"/>
        </w:rPr>
        <w:t xml:space="preserve"> this enhancement</w:t>
      </w:r>
      <w:r>
        <w:rPr>
          <w:rFonts w:hint="eastAsia" w:ascii="Times New Roman" w:hAnsi="Times New Roman" w:eastAsia="宋体"/>
          <w:bCs/>
          <w:lang w:val="en-US"/>
        </w:rPr>
        <w:t xml:space="preserve"> is not supported</w:t>
      </w:r>
      <w:r>
        <w:rPr>
          <w:rFonts w:ascii="Times New Roman" w:hAnsi="Times New Roman" w:eastAsia="宋体"/>
          <w:bCs/>
          <w:lang w:val="en-US"/>
        </w:rPr>
        <w:t>, the gNB may configure more than 16 QoE configurations to the UE, and UE ha</w:t>
      </w:r>
      <w:r>
        <w:rPr>
          <w:rFonts w:hint="eastAsia" w:ascii="Times New Roman" w:hAnsi="Times New Roman" w:eastAsia="宋体"/>
          <w:bCs/>
          <w:lang w:val="en-US"/>
        </w:rPr>
        <w:t>s</w:t>
      </w:r>
      <w:r>
        <w:rPr>
          <w:rFonts w:ascii="Times New Roman" w:hAnsi="Times New Roman" w:eastAsia="宋体"/>
          <w:bCs/>
          <w:lang w:val="en-US"/>
        </w:rPr>
        <w:t xml:space="preserve"> to discard some QoE configurations that it </w:t>
      </w:r>
      <w:r>
        <w:rPr>
          <w:rFonts w:hint="eastAsia" w:ascii="Times New Roman" w:hAnsi="Times New Roman" w:eastAsia="宋体"/>
          <w:bCs/>
          <w:lang w:val="en-US"/>
        </w:rPr>
        <w:t xml:space="preserve">is </w:t>
      </w:r>
      <w:r>
        <w:rPr>
          <w:rFonts w:ascii="Times New Roman" w:hAnsi="Times New Roman" w:eastAsia="宋体"/>
          <w:bCs/>
          <w:lang w:val="en-US"/>
        </w:rPr>
        <w:t>unable to execute. So, it’s proposed as below:</w:t>
      </w:r>
    </w:p>
    <w:p>
      <w:pPr>
        <w:rPr>
          <w:rFonts w:ascii="Times New Roman" w:hAnsi="Times New Roman" w:eastAsia="宋体"/>
          <w:b/>
          <w:bCs/>
          <w:lang w:val="en-US"/>
        </w:rPr>
      </w:pPr>
      <w:r>
        <w:rPr>
          <w:rFonts w:ascii="Times New Roman" w:hAnsi="Times New Roman" w:eastAsia="宋体"/>
          <w:b/>
          <w:bCs/>
          <w:lang w:val="en-US"/>
        </w:rPr>
        <w:t xml:space="preserve">Proposal 4: The gNB can configure multiple QoE configurations to the UE only when it receives the IDLE/INACTIVE QoE configurations, </w:t>
      </w:r>
      <w:r>
        <w:rPr>
          <w:rFonts w:hint="eastAsia" w:ascii="Times New Roman" w:hAnsi="Times New Roman" w:eastAsia="宋体"/>
          <w:b/>
          <w:bCs/>
          <w:lang w:val="en-US"/>
        </w:rPr>
        <w:t>so as to</w:t>
      </w:r>
      <w:r>
        <w:rPr>
          <w:rFonts w:ascii="Times New Roman" w:hAnsi="Times New Roman" w:eastAsia="宋体"/>
          <w:b/>
          <w:bCs/>
          <w:lang w:val="en-US"/>
        </w:rPr>
        <w:t xml:space="preserve"> ensur</w:t>
      </w:r>
      <w:r>
        <w:rPr>
          <w:rFonts w:hint="eastAsia" w:ascii="Times New Roman" w:hAnsi="Times New Roman" w:eastAsia="宋体"/>
          <w:b/>
          <w:bCs/>
          <w:lang w:val="en-US"/>
        </w:rPr>
        <w:t>e</w:t>
      </w:r>
      <w:r>
        <w:rPr>
          <w:rFonts w:ascii="Times New Roman" w:hAnsi="Times New Roman" w:eastAsia="宋体"/>
          <w:b/>
          <w:bCs/>
          <w:lang w:val="en-US"/>
        </w:rPr>
        <w:t xml:space="preserve"> the number of QoE configurations measured in the UE </w:t>
      </w:r>
      <w:r>
        <w:rPr>
          <w:rFonts w:hint="eastAsia" w:ascii="Times New Roman" w:hAnsi="Times New Roman" w:eastAsia="宋体"/>
          <w:b/>
          <w:bCs/>
          <w:lang w:val="en-US"/>
        </w:rPr>
        <w:t xml:space="preserve">is </w:t>
      </w:r>
      <w:r>
        <w:rPr>
          <w:rFonts w:ascii="Times New Roman" w:hAnsi="Times New Roman" w:eastAsia="宋体"/>
          <w:b/>
          <w:bCs/>
          <w:lang w:val="en-US"/>
        </w:rPr>
        <w:t xml:space="preserve">no </w:t>
      </w:r>
      <w:r>
        <w:rPr>
          <w:rFonts w:hint="eastAsia" w:ascii="Times New Roman" w:hAnsi="Times New Roman" w:eastAsia="宋体"/>
          <w:b/>
          <w:bCs/>
          <w:lang w:val="en-US"/>
        </w:rPr>
        <w:t>exceeding</w:t>
      </w:r>
      <w:r>
        <w:rPr>
          <w:rFonts w:ascii="Times New Roman" w:hAnsi="Times New Roman" w:eastAsia="宋体"/>
          <w:b/>
          <w:bCs/>
          <w:lang w:val="en-US"/>
        </w:rPr>
        <w:t xml:space="preserve"> 16.</w:t>
      </w:r>
    </w:p>
    <w:p>
      <w:pPr>
        <w:rPr>
          <w:rFonts w:ascii="Times New Roman" w:hAnsi="Times New Roman" w:eastAsia="宋体"/>
          <w:b/>
          <w:bCs/>
        </w:rPr>
      </w:pPr>
    </w:p>
    <w:p>
      <w:pPr>
        <w:rPr>
          <w:rFonts w:ascii="Times New Roman" w:hAnsi="Times New Roman" w:eastAsia="宋体"/>
          <w:b/>
          <w:bCs/>
          <w:lang w:val="en-US"/>
        </w:rPr>
      </w:pPr>
    </w:p>
    <w:p>
      <w:pPr>
        <w:pStyle w:val="3"/>
        <w:rPr>
          <w:rFonts w:ascii="Times New Roman" w:hAnsi="Times New Roman" w:cs="Times New Roman"/>
          <w:bCs/>
          <w:lang w:val="en-US"/>
        </w:rPr>
      </w:pPr>
      <w:r>
        <w:rPr>
          <w:rFonts w:hint="eastAsia" w:ascii="Times New Roman" w:hAnsi="Times New Roman" w:eastAsia="等线" w:cs="Times New Roman"/>
          <w:bCs/>
          <w:lang w:val="en-US"/>
        </w:rPr>
        <w:t xml:space="preserve"> </w:t>
      </w:r>
      <w:r>
        <w:rPr>
          <w:rFonts w:ascii="Times New Roman" w:hAnsi="Times New Roman" w:eastAsia="等线" w:cs="Times New Roman"/>
          <w:bCs/>
          <w:lang w:val="en-US"/>
        </w:rPr>
        <w:t xml:space="preserve">MBS communication service </w:t>
      </w:r>
    </w:p>
    <w:p>
      <w:pPr>
        <w:rPr>
          <w:rFonts w:ascii="Times New Roman" w:hAnsi="Times New Roman" w:eastAsia="宋体"/>
          <w:bCs/>
          <w:lang w:val="en-US"/>
        </w:rPr>
      </w:pPr>
      <w:r>
        <w:rPr>
          <w:rFonts w:ascii="Times New Roman" w:hAnsi="Times New Roman" w:eastAsia="宋体"/>
          <w:bCs/>
          <w:lang w:val="en-US"/>
        </w:rPr>
        <w:t>We have the following FFS below in the last meeting:</w:t>
      </w:r>
    </w:p>
    <w:p>
      <w:pPr>
        <w:rPr>
          <w:rFonts w:ascii="Calibri" w:hAnsi="Calibri" w:cs="Calibri"/>
          <w:b/>
          <w:color w:val="0000FF"/>
          <w:sz w:val="18"/>
          <w:lang w:eastAsia="en-US"/>
        </w:rPr>
      </w:pPr>
      <w:r>
        <w:rPr>
          <w:rFonts w:ascii="Calibri" w:hAnsi="Calibri" w:cs="Calibri"/>
          <w:b/>
          <w:color w:val="0000FF"/>
          <w:sz w:val="18"/>
          <w:lang w:eastAsia="en-US"/>
        </w:rPr>
        <w:t>FFS whether the new communication service mode IE also contains a third codepoint - for unicast.</w:t>
      </w:r>
    </w:p>
    <w:p>
      <w:pPr>
        <w:rPr>
          <w:rFonts w:ascii="Calibri" w:hAnsi="Calibri" w:cs="Calibri"/>
          <w:b/>
          <w:color w:val="0000FF"/>
          <w:sz w:val="18"/>
          <w:lang w:eastAsia="en-US"/>
        </w:rPr>
      </w:pPr>
      <w:r>
        <w:rPr>
          <w:rFonts w:ascii="Calibri" w:hAnsi="Calibri" w:cs="Calibri"/>
          <w:b/>
          <w:color w:val="0000FF"/>
          <w:sz w:val="18"/>
          <w:lang w:eastAsia="en-US"/>
        </w:rPr>
        <w:t>FFS whether communication mode is indicated in QoE report upon switching between unicast and multicast.</w:t>
      </w:r>
    </w:p>
    <w:p>
      <w:pPr>
        <w:rPr>
          <w:rFonts w:ascii="Times New Roman" w:hAnsi="Times New Roman" w:eastAsia="宋体"/>
          <w:bCs/>
        </w:rPr>
      </w:pPr>
    </w:p>
    <w:p>
      <w:pPr>
        <w:rPr>
          <w:rFonts w:ascii="Times New Roman" w:hAnsi="Times New Roman" w:eastAsia="宋体"/>
          <w:bCs/>
        </w:rPr>
      </w:pPr>
      <w:r>
        <w:rPr>
          <w:rFonts w:ascii="Times New Roman" w:hAnsi="Times New Roman" w:eastAsia="宋体"/>
          <w:bCs/>
        </w:rPr>
        <w:t xml:space="preserve">For introducing unicast codepoint, the essential issue is how </w:t>
      </w:r>
      <w:r>
        <w:rPr>
          <w:rFonts w:hint="eastAsia" w:ascii="Times New Roman" w:hAnsi="Times New Roman" w:eastAsia="宋体"/>
          <w:bCs/>
          <w:lang w:val="en-US"/>
        </w:rPr>
        <w:t xml:space="preserve">to </w:t>
      </w:r>
      <w:r>
        <w:rPr>
          <w:rFonts w:ascii="Times New Roman" w:hAnsi="Times New Roman" w:eastAsia="宋体"/>
          <w:bCs/>
        </w:rPr>
        <w:t>treat those QoE measurement when UE switch</w:t>
      </w:r>
      <w:r>
        <w:rPr>
          <w:rFonts w:hint="eastAsia" w:ascii="Times New Roman" w:hAnsi="Times New Roman" w:eastAsia="宋体"/>
          <w:bCs/>
          <w:lang w:val="en-US"/>
        </w:rPr>
        <w:t>es</w:t>
      </w:r>
      <w:r>
        <w:rPr>
          <w:rFonts w:ascii="Times New Roman" w:hAnsi="Times New Roman" w:eastAsia="宋体"/>
          <w:bCs/>
        </w:rPr>
        <w:t xml:space="preserve"> to unicast from multicast. From our views, there is no need to distinguish these two mode</w:t>
      </w:r>
      <w:r>
        <w:rPr>
          <w:rFonts w:hint="eastAsia" w:ascii="Times New Roman" w:hAnsi="Times New Roman" w:eastAsia="宋体"/>
          <w:bCs/>
          <w:lang w:val="en-US"/>
        </w:rPr>
        <w:t>s</w:t>
      </w:r>
      <w:r>
        <w:rPr>
          <w:rFonts w:ascii="Times New Roman" w:hAnsi="Times New Roman" w:eastAsia="宋体"/>
          <w:bCs/>
        </w:rPr>
        <w:t xml:space="preserve"> during the QoE session, as the QMC is for MBS service</w:t>
      </w:r>
      <w:r>
        <w:rPr>
          <w:rFonts w:hint="eastAsia" w:ascii="Times New Roman" w:hAnsi="Times New Roman" w:eastAsia="宋体"/>
          <w:bCs/>
        </w:rPr>
        <w:t>.</w:t>
      </w:r>
      <w:r>
        <w:rPr>
          <w:rFonts w:ascii="Times New Roman" w:hAnsi="Times New Roman" w:eastAsia="宋体"/>
          <w:bCs/>
        </w:rPr>
        <w:t xml:space="preserve"> Once UE switches to unicast, the corresponding QoE measurement should be stopped unless the QoE session is not yet finished. If we are interested </w:t>
      </w:r>
      <w:r>
        <w:rPr>
          <w:rFonts w:hint="eastAsia" w:ascii="Times New Roman" w:hAnsi="Times New Roman" w:eastAsia="宋体"/>
          <w:bCs/>
          <w:lang w:val="en-US"/>
        </w:rPr>
        <w:t xml:space="preserve">in </w:t>
      </w:r>
      <w:r>
        <w:rPr>
          <w:rFonts w:ascii="Times New Roman" w:hAnsi="Times New Roman" w:eastAsia="宋体"/>
          <w:bCs/>
        </w:rPr>
        <w:t xml:space="preserve">the unicast case, then OAM can configure a regular QoE for it. </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5</w:t>
      </w:r>
      <w:r>
        <w:rPr>
          <w:rFonts w:hint="eastAsia" w:ascii="Times New Roman" w:hAnsi="Times New Roman" w:eastAsia="宋体"/>
          <w:b/>
          <w:bCs/>
          <w:lang w:val="en-US"/>
        </w:rPr>
        <w:t>:</w:t>
      </w:r>
      <w:r>
        <w:rPr>
          <w:rFonts w:ascii="Times New Roman" w:hAnsi="Times New Roman" w:eastAsia="宋体"/>
          <w:b/>
          <w:bCs/>
          <w:lang w:val="en-US"/>
        </w:rPr>
        <w:t xml:space="preserve"> It is not necessary for RAN3 to introduce unicast codepoint for the communication service mode IE.</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6</w:t>
      </w:r>
      <w:r>
        <w:rPr>
          <w:rFonts w:hint="eastAsia" w:ascii="Times New Roman" w:hAnsi="Times New Roman" w:eastAsia="宋体"/>
          <w:b/>
          <w:bCs/>
          <w:lang w:val="en-US"/>
        </w:rPr>
        <w:t>:</w:t>
      </w:r>
      <w:r>
        <w:rPr>
          <w:rFonts w:ascii="Times New Roman" w:hAnsi="Times New Roman" w:eastAsia="宋体"/>
          <w:b/>
          <w:bCs/>
          <w:lang w:val="en-US"/>
        </w:rPr>
        <w:t xml:space="preserve"> QMC QoE measurement should be stopped when UE switches to unicast.</w:t>
      </w:r>
    </w:p>
    <w:p>
      <w:pPr>
        <w:rPr>
          <w:rFonts w:ascii="Times New Roman" w:hAnsi="Times New Roman" w:eastAsia="等线"/>
          <w:lang w:val="en-US"/>
        </w:rPr>
      </w:pPr>
    </w:p>
    <w:p>
      <w:pPr>
        <w:rPr>
          <w:rFonts w:ascii="Times New Roman" w:hAnsi="Times New Roman" w:eastAsia="等线"/>
          <w:bCs/>
          <w:lang w:val="en-US"/>
        </w:rPr>
      </w:pPr>
    </w:p>
    <w:p>
      <w:pPr>
        <w:pStyle w:val="2"/>
        <w:rPr>
          <w:rFonts w:ascii="Times New Roman" w:hAnsi="Times New Roman" w:cs="Times New Roman"/>
          <w:sz w:val="40"/>
        </w:rPr>
      </w:pPr>
      <w:r>
        <w:rPr>
          <w:rFonts w:ascii="Times New Roman" w:hAnsi="Times New Roman" w:cs="Times New Roman"/>
          <w:sz w:val="40"/>
        </w:rPr>
        <w:t>Conclusion</w:t>
      </w:r>
      <w:bookmarkStart w:id="0" w:name="_In-sequence_SDU_delivery"/>
      <w:bookmarkEnd w:id="0"/>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1</w:t>
      </w:r>
      <w:r>
        <w:rPr>
          <w:rFonts w:hint="eastAsia" w:ascii="Times New Roman" w:hAnsi="Times New Roman" w:eastAsia="宋体"/>
          <w:b/>
          <w:bCs/>
          <w:lang w:val="en-US"/>
        </w:rPr>
        <w:t>:</w:t>
      </w:r>
      <w:r>
        <w:rPr>
          <w:rFonts w:ascii="Times New Roman" w:hAnsi="Times New Roman" w:eastAsia="宋体"/>
          <w:b/>
          <w:bCs/>
          <w:lang w:val="en-US"/>
        </w:rPr>
        <w:t xml:space="preserve"> Turn WA to agreement: UE based solution for IDLE QoE configuration retrieve in Rel-18 IDLE/INACTIVE QoE.</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2</w:t>
      </w:r>
      <w:r>
        <w:rPr>
          <w:rFonts w:hint="eastAsia" w:ascii="Times New Roman" w:hAnsi="Times New Roman" w:eastAsia="宋体"/>
          <w:b/>
          <w:bCs/>
          <w:lang w:val="en-US"/>
        </w:rPr>
        <w:t>:</w:t>
      </w:r>
      <w:r>
        <w:rPr>
          <w:rFonts w:ascii="Times New Roman" w:hAnsi="Times New Roman" w:eastAsia="宋体"/>
          <w:b/>
          <w:bCs/>
          <w:lang w:val="en-US"/>
        </w:rPr>
        <w:t xml:space="preserve"> Priority information should be provided to gNB serving the UE when the UE returns from RRC_IDLE to RRC_CONNECTED. </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3</w:t>
      </w:r>
      <w:r>
        <w:rPr>
          <w:rFonts w:hint="eastAsia" w:ascii="Times New Roman" w:hAnsi="Times New Roman" w:eastAsia="宋体"/>
          <w:b/>
          <w:bCs/>
          <w:lang w:val="en-US"/>
        </w:rPr>
        <w:t>:</w:t>
      </w:r>
      <w:r>
        <w:rPr>
          <w:rFonts w:ascii="Times New Roman" w:hAnsi="Times New Roman" w:eastAsia="宋体"/>
          <w:b/>
          <w:bCs/>
          <w:lang w:val="en-US"/>
        </w:rPr>
        <w:t xml:space="preserve"> MDT alignment indication should not be provided to gNB serving the UE when the UE returns from RRC_IDLE to RRC_CONNECTED. </w:t>
      </w:r>
    </w:p>
    <w:p>
      <w:pPr>
        <w:rPr>
          <w:rFonts w:hint="eastAsia" w:ascii="Times New Roman" w:hAnsi="Times New Roman" w:eastAsia="宋体"/>
          <w:b/>
          <w:bCs/>
          <w:lang w:val="en-US"/>
        </w:rPr>
      </w:pPr>
      <w:r>
        <w:rPr>
          <w:rFonts w:ascii="Times New Roman" w:hAnsi="Times New Roman" w:eastAsia="宋体"/>
          <w:b/>
          <w:bCs/>
          <w:lang w:val="en-US"/>
        </w:rPr>
        <w:t xml:space="preserve">Proposal 4: The gNB can configure multiple QoE configurations to the UE only when it receives the IDLE/INACTIVE QoE configurations, </w:t>
      </w:r>
      <w:r>
        <w:rPr>
          <w:rFonts w:hint="eastAsia" w:ascii="Times New Roman" w:hAnsi="Times New Roman" w:eastAsia="宋体"/>
          <w:b/>
          <w:bCs/>
          <w:lang w:val="en-US"/>
        </w:rPr>
        <w:t>so as to</w:t>
      </w:r>
      <w:r>
        <w:rPr>
          <w:rFonts w:ascii="Times New Roman" w:hAnsi="Times New Roman" w:eastAsia="宋体"/>
          <w:b/>
          <w:bCs/>
          <w:lang w:val="en-US"/>
        </w:rPr>
        <w:t xml:space="preserve"> ensur</w:t>
      </w:r>
      <w:r>
        <w:rPr>
          <w:rFonts w:hint="eastAsia" w:ascii="Times New Roman" w:hAnsi="Times New Roman" w:eastAsia="宋体"/>
          <w:b/>
          <w:bCs/>
          <w:lang w:val="en-US"/>
        </w:rPr>
        <w:t>e</w:t>
      </w:r>
      <w:r>
        <w:rPr>
          <w:rFonts w:ascii="Times New Roman" w:hAnsi="Times New Roman" w:eastAsia="宋体"/>
          <w:b/>
          <w:bCs/>
          <w:lang w:val="en-US"/>
        </w:rPr>
        <w:t xml:space="preserve"> the number of QoE configurations measured in the UE </w:t>
      </w:r>
      <w:r>
        <w:rPr>
          <w:rFonts w:hint="eastAsia" w:ascii="Times New Roman" w:hAnsi="Times New Roman" w:eastAsia="宋体"/>
          <w:b/>
          <w:bCs/>
          <w:lang w:val="en-US"/>
        </w:rPr>
        <w:t xml:space="preserve">is </w:t>
      </w:r>
      <w:r>
        <w:rPr>
          <w:rFonts w:ascii="Times New Roman" w:hAnsi="Times New Roman" w:eastAsia="宋体"/>
          <w:b/>
          <w:bCs/>
          <w:lang w:val="en-US"/>
        </w:rPr>
        <w:t xml:space="preserve">no </w:t>
      </w:r>
      <w:r>
        <w:rPr>
          <w:rFonts w:hint="eastAsia" w:ascii="Times New Roman" w:hAnsi="Times New Roman" w:eastAsia="宋体"/>
          <w:b/>
          <w:bCs/>
          <w:lang w:val="en-US"/>
        </w:rPr>
        <w:t>exceeding</w:t>
      </w:r>
      <w:r>
        <w:rPr>
          <w:rFonts w:ascii="Times New Roman" w:hAnsi="Times New Roman" w:eastAsia="宋体"/>
          <w:b/>
          <w:bCs/>
          <w:lang w:val="en-US"/>
        </w:rPr>
        <w:t xml:space="preserve"> 16.</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5</w:t>
      </w:r>
      <w:r>
        <w:rPr>
          <w:rFonts w:hint="eastAsia" w:ascii="Times New Roman" w:hAnsi="Times New Roman" w:eastAsia="宋体"/>
          <w:b/>
          <w:bCs/>
          <w:lang w:val="en-US"/>
        </w:rPr>
        <w:t>:</w:t>
      </w:r>
      <w:r>
        <w:rPr>
          <w:rFonts w:ascii="Times New Roman" w:hAnsi="Times New Roman" w:eastAsia="宋体"/>
          <w:b/>
          <w:bCs/>
          <w:lang w:val="en-US"/>
        </w:rPr>
        <w:t xml:space="preserve"> It is not necessary for RAN3 to introduce unicast codepoint for the communication service mode IE.</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6</w:t>
      </w:r>
      <w:r>
        <w:rPr>
          <w:rFonts w:hint="eastAsia" w:ascii="Times New Roman" w:hAnsi="Times New Roman" w:eastAsia="宋体"/>
          <w:b/>
          <w:bCs/>
          <w:lang w:val="en-US"/>
        </w:rPr>
        <w:t>:</w:t>
      </w:r>
      <w:r>
        <w:rPr>
          <w:rFonts w:ascii="Times New Roman" w:hAnsi="Times New Roman" w:eastAsia="宋体"/>
          <w:b/>
          <w:bCs/>
          <w:lang w:val="en-US"/>
        </w:rPr>
        <w:t xml:space="preserve"> QMC QoE measurement should be stopped when UE switches to unicast.</w:t>
      </w:r>
    </w:p>
    <w:p>
      <w:pPr>
        <w:rPr>
          <w:rFonts w:eastAsia="等线"/>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3</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6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101505E"/>
    <w:multiLevelType w:val="multilevel"/>
    <w:tmpl w:val="5101505E"/>
    <w:lvl w:ilvl="0" w:tentative="0">
      <w:start w:val="1"/>
      <w:numFmt w:val="decimal"/>
      <w:pStyle w:val="70"/>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130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3NTEyYzUyZWFmNjJhYzE2ODgzNzAyMTJlZWJiNTUifQ=="/>
  </w:docVars>
  <w:rsids>
    <w:rsidRoot w:val="00BF52B4"/>
    <w:rsid w:val="000002EA"/>
    <w:rsid w:val="0000031F"/>
    <w:rsid w:val="00000D94"/>
    <w:rsid w:val="00001D9F"/>
    <w:rsid w:val="00002615"/>
    <w:rsid w:val="00002885"/>
    <w:rsid w:val="00003172"/>
    <w:rsid w:val="000034E5"/>
    <w:rsid w:val="000037D9"/>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3B0"/>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072"/>
    <w:rsid w:val="00031799"/>
    <w:rsid w:val="00031859"/>
    <w:rsid w:val="00032F32"/>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0F"/>
    <w:rsid w:val="00043493"/>
    <w:rsid w:val="00043B53"/>
    <w:rsid w:val="000445C8"/>
    <w:rsid w:val="00045276"/>
    <w:rsid w:val="00045336"/>
    <w:rsid w:val="00045494"/>
    <w:rsid w:val="0004603B"/>
    <w:rsid w:val="00046A55"/>
    <w:rsid w:val="00046B26"/>
    <w:rsid w:val="00046FD2"/>
    <w:rsid w:val="000474A3"/>
    <w:rsid w:val="000478D4"/>
    <w:rsid w:val="00050158"/>
    <w:rsid w:val="000507EA"/>
    <w:rsid w:val="00050DAE"/>
    <w:rsid w:val="00050EC6"/>
    <w:rsid w:val="000513DB"/>
    <w:rsid w:val="00051400"/>
    <w:rsid w:val="0005150F"/>
    <w:rsid w:val="00051974"/>
    <w:rsid w:val="00051E63"/>
    <w:rsid w:val="00051F20"/>
    <w:rsid w:val="00052188"/>
    <w:rsid w:val="000524AE"/>
    <w:rsid w:val="00052983"/>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2FB"/>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226"/>
    <w:rsid w:val="000825DE"/>
    <w:rsid w:val="0008261D"/>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3D40"/>
    <w:rsid w:val="00094313"/>
    <w:rsid w:val="000950A2"/>
    <w:rsid w:val="000950EA"/>
    <w:rsid w:val="00095F23"/>
    <w:rsid w:val="00096353"/>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389"/>
    <w:rsid w:val="000B1AFB"/>
    <w:rsid w:val="000B1B37"/>
    <w:rsid w:val="000B1D81"/>
    <w:rsid w:val="000B2481"/>
    <w:rsid w:val="000B2754"/>
    <w:rsid w:val="000B311C"/>
    <w:rsid w:val="000B3B91"/>
    <w:rsid w:val="000B3F36"/>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8DE"/>
    <w:rsid w:val="000D6A5C"/>
    <w:rsid w:val="000D6F9D"/>
    <w:rsid w:val="000D7206"/>
    <w:rsid w:val="000D7348"/>
    <w:rsid w:val="000D7E14"/>
    <w:rsid w:val="000E099E"/>
    <w:rsid w:val="000E1C4B"/>
    <w:rsid w:val="000E33B7"/>
    <w:rsid w:val="000E3478"/>
    <w:rsid w:val="000E5983"/>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467"/>
    <w:rsid w:val="001146B3"/>
    <w:rsid w:val="00114ABC"/>
    <w:rsid w:val="00114F3B"/>
    <w:rsid w:val="0011520C"/>
    <w:rsid w:val="0011538F"/>
    <w:rsid w:val="00115B4A"/>
    <w:rsid w:val="00115DD2"/>
    <w:rsid w:val="0011766A"/>
    <w:rsid w:val="00117B72"/>
    <w:rsid w:val="00117C9D"/>
    <w:rsid w:val="00120771"/>
    <w:rsid w:val="001209C8"/>
    <w:rsid w:val="00120D60"/>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85E"/>
    <w:rsid w:val="00140F34"/>
    <w:rsid w:val="00141DC9"/>
    <w:rsid w:val="001427F8"/>
    <w:rsid w:val="00142F76"/>
    <w:rsid w:val="001434EC"/>
    <w:rsid w:val="00143937"/>
    <w:rsid w:val="00143AE7"/>
    <w:rsid w:val="00144702"/>
    <w:rsid w:val="001447A5"/>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5B6"/>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6DB"/>
    <w:rsid w:val="00174BE1"/>
    <w:rsid w:val="00175027"/>
    <w:rsid w:val="001750B8"/>
    <w:rsid w:val="00175427"/>
    <w:rsid w:val="00175EDA"/>
    <w:rsid w:val="00176CBC"/>
    <w:rsid w:val="00176F48"/>
    <w:rsid w:val="00176FB7"/>
    <w:rsid w:val="00180608"/>
    <w:rsid w:val="001810F8"/>
    <w:rsid w:val="00181488"/>
    <w:rsid w:val="00181CAA"/>
    <w:rsid w:val="00181CDB"/>
    <w:rsid w:val="00181D6A"/>
    <w:rsid w:val="00182088"/>
    <w:rsid w:val="0018245F"/>
    <w:rsid w:val="00182DE4"/>
    <w:rsid w:val="001832F7"/>
    <w:rsid w:val="00183D68"/>
    <w:rsid w:val="00183E87"/>
    <w:rsid w:val="00183F0E"/>
    <w:rsid w:val="0018415D"/>
    <w:rsid w:val="00184878"/>
    <w:rsid w:val="00184EB1"/>
    <w:rsid w:val="00186FDF"/>
    <w:rsid w:val="00187A5B"/>
    <w:rsid w:val="0019015D"/>
    <w:rsid w:val="00190542"/>
    <w:rsid w:val="00190747"/>
    <w:rsid w:val="00190C01"/>
    <w:rsid w:val="00190D21"/>
    <w:rsid w:val="00191653"/>
    <w:rsid w:val="00191B47"/>
    <w:rsid w:val="00191EAA"/>
    <w:rsid w:val="00191F65"/>
    <w:rsid w:val="00192091"/>
    <w:rsid w:val="0019236F"/>
    <w:rsid w:val="00192D78"/>
    <w:rsid w:val="00193674"/>
    <w:rsid w:val="00193A31"/>
    <w:rsid w:val="00194961"/>
    <w:rsid w:val="00195473"/>
    <w:rsid w:val="00195BC5"/>
    <w:rsid w:val="00195E06"/>
    <w:rsid w:val="00195E31"/>
    <w:rsid w:val="00195E56"/>
    <w:rsid w:val="00196276"/>
    <w:rsid w:val="0019647D"/>
    <w:rsid w:val="001968A1"/>
    <w:rsid w:val="00196920"/>
    <w:rsid w:val="00196D2F"/>
    <w:rsid w:val="00197560"/>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A759B"/>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4A5"/>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959"/>
    <w:rsid w:val="001E0C94"/>
    <w:rsid w:val="001E1886"/>
    <w:rsid w:val="001E2185"/>
    <w:rsid w:val="001E2D6A"/>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2E32"/>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CAB"/>
    <w:rsid w:val="00215E31"/>
    <w:rsid w:val="00216373"/>
    <w:rsid w:val="0021645B"/>
    <w:rsid w:val="002166BB"/>
    <w:rsid w:val="002167B0"/>
    <w:rsid w:val="0021686A"/>
    <w:rsid w:val="002208B9"/>
    <w:rsid w:val="002210F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27DE6"/>
    <w:rsid w:val="00230204"/>
    <w:rsid w:val="00230AB6"/>
    <w:rsid w:val="002317F8"/>
    <w:rsid w:val="00231AA1"/>
    <w:rsid w:val="00232184"/>
    <w:rsid w:val="0023238C"/>
    <w:rsid w:val="00232BD5"/>
    <w:rsid w:val="00232F94"/>
    <w:rsid w:val="002331FC"/>
    <w:rsid w:val="00233BAC"/>
    <w:rsid w:val="00233C98"/>
    <w:rsid w:val="00233EDA"/>
    <w:rsid w:val="00234221"/>
    <w:rsid w:val="002343EA"/>
    <w:rsid w:val="00234456"/>
    <w:rsid w:val="00234C25"/>
    <w:rsid w:val="002352BC"/>
    <w:rsid w:val="00235CAE"/>
    <w:rsid w:val="0023604E"/>
    <w:rsid w:val="002368DD"/>
    <w:rsid w:val="00236BFE"/>
    <w:rsid w:val="00236EC8"/>
    <w:rsid w:val="002370D5"/>
    <w:rsid w:val="002370EA"/>
    <w:rsid w:val="0024074B"/>
    <w:rsid w:val="00240D3C"/>
    <w:rsid w:val="00240F65"/>
    <w:rsid w:val="0024182F"/>
    <w:rsid w:val="00243476"/>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17"/>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355"/>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144"/>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9BC"/>
    <w:rsid w:val="00293D4F"/>
    <w:rsid w:val="00293F5B"/>
    <w:rsid w:val="002947EC"/>
    <w:rsid w:val="002960CF"/>
    <w:rsid w:val="002966B8"/>
    <w:rsid w:val="00296DEC"/>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A8"/>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C6CB8"/>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D10"/>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0A2"/>
    <w:rsid w:val="002F4529"/>
    <w:rsid w:val="002F45C3"/>
    <w:rsid w:val="002F49C7"/>
    <w:rsid w:val="002F4DDC"/>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7AA"/>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0AA"/>
    <w:rsid w:val="00331142"/>
    <w:rsid w:val="00331533"/>
    <w:rsid w:val="003315CA"/>
    <w:rsid w:val="0033160C"/>
    <w:rsid w:val="003317C4"/>
    <w:rsid w:val="00331D8A"/>
    <w:rsid w:val="00332209"/>
    <w:rsid w:val="00333056"/>
    <w:rsid w:val="003331CF"/>
    <w:rsid w:val="00333998"/>
    <w:rsid w:val="00333A44"/>
    <w:rsid w:val="003348E8"/>
    <w:rsid w:val="00334956"/>
    <w:rsid w:val="00334A39"/>
    <w:rsid w:val="00335EDA"/>
    <w:rsid w:val="00335EE9"/>
    <w:rsid w:val="00336E0F"/>
    <w:rsid w:val="00337298"/>
    <w:rsid w:val="0033773F"/>
    <w:rsid w:val="00340AEC"/>
    <w:rsid w:val="00341B51"/>
    <w:rsid w:val="003425D3"/>
    <w:rsid w:val="00342F18"/>
    <w:rsid w:val="003432F4"/>
    <w:rsid w:val="00344576"/>
    <w:rsid w:val="00344DBA"/>
    <w:rsid w:val="00345BD7"/>
    <w:rsid w:val="0034684D"/>
    <w:rsid w:val="00346DC4"/>
    <w:rsid w:val="00346EBA"/>
    <w:rsid w:val="003472F6"/>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677FB"/>
    <w:rsid w:val="00370528"/>
    <w:rsid w:val="00370FA7"/>
    <w:rsid w:val="00371727"/>
    <w:rsid w:val="0037329E"/>
    <w:rsid w:val="00373892"/>
    <w:rsid w:val="0037398A"/>
    <w:rsid w:val="003751AE"/>
    <w:rsid w:val="00375E88"/>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624"/>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B62CA"/>
    <w:rsid w:val="003C05F8"/>
    <w:rsid w:val="003C0B31"/>
    <w:rsid w:val="003C14DA"/>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01C"/>
    <w:rsid w:val="003D25C1"/>
    <w:rsid w:val="003D278F"/>
    <w:rsid w:val="003D32D0"/>
    <w:rsid w:val="003D3A28"/>
    <w:rsid w:val="003D41FE"/>
    <w:rsid w:val="003D4BD0"/>
    <w:rsid w:val="003D66F6"/>
    <w:rsid w:val="003D6987"/>
    <w:rsid w:val="003D6DF8"/>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3E96"/>
    <w:rsid w:val="003F455F"/>
    <w:rsid w:val="003F46D5"/>
    <w:rsid w:val="003F47A9"/>
    <w:rsid w:val="003F4A7A"/>
    <w:rsid w:val="003F4EF1"/>
    <w:rsid w:val="003F5C28"/>
    <w:rsid w:val="003F5F2E"/>
    <w:rsid w:val="003F78A0"/>
    <w:rsid w:val="003F7B52"/>
    <w:rsid w:val="00400305"/>
    <w:rsid w:val="00400444"/>
    <w:rsid w:val="0040134A"/>
    <w:rsid w:val="00401A79"/>
    <w:rsid w:val="00402C56"/>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4A5"/>
    <w:rsid w:val="004237C6"/>
    <w:rsid w:val="00423852"/>
    <w:rsid w:val="00423A00"/>
    <w:rsid w:val="00423FDC"/>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0DB"/>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16E"/>
    <w:rsid w:val="004639F6"/>
    <w:rsid w:val="00463B2C"/>
    <w:rsid w:val="00464243"/>
    <w:rsid w:val="00464529"/>
    <w:rsid w:val="00464EA6"/>
    <w:rsid w:val="00465737"/>
    <w:rsid w:val="00465A03"/>
    <w:rsid w:val="00465AF4"/>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1D3"/>
    <w:rsid w:val="00485966"/>
    <w:rsid w:val="00486242"/>
    <w:rsid w:val="004868A0"/>
    <w:rsid w:val="0048697B"/>
    <w:rsid w:val="00486EB6"/>
    <w:rsid w:val="00487261"/>
    <w:rsid w:val="004874F3"/>
    <w:rsid w:val="00487BD6"/>
    <w:rsid w:val="00487BF4"/>
    <w:rsid w:val="00487ECF"/>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C52"/>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C91"/>
    <w:rsid w:val="004A4E2C"/>
    <w:rsid w:val="004A4E98"/>
    <w:rsid w:val="004A4EDF"/>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3B2D"/>
    <w:rsid w:val="004B542F"/>
    <w:rsid w:val="004B5571"/>
    <w:rsid w:val="004B5A42"/>
    <w:rsid w:val="004B7D6C"/>
    <w:rsid w:val="004B7F06"/>
    <w:rsid w:val="004B7FC6"/>
    <w:rsid w:val="004C156E"/>
    <w:rsid w:val="004C1997"/>
    <w:rsid w:val="004C1C70"/>
    <w:rsid w:val="004C1DC9"/>
    <w:rsid w:val="004C2B12"/>
    <w:rsid w:val="004C430D"/>
    <w:rsid w:val="004C5011"/>
    <w:rsid w:val="004C51D3"/>
    <w:rsid w:val="004C61AE"/>
    <w:rsid w:val="004C6D63"/>
    <w:rsid w:val="004C7A4A"/>
    <w:rsid w:val="004D1300"/>
    <w:rsid w:val="004D15EB"/>
    <w:rsid w:val="004D1952"/>
    <w:rsid w:val="004D25E9"/>
    <w:rsid w:val="004D2A98"/>
    <w:rsid w:val="004D2D4E"/>
    <w:rsid w:val="004D2E00"/>
    <w:rsid w:val="004D569D"/>
    <w:rsid w:val="004D5AC6"/>
    <w:rsid w:val="004D5C50"/>
    <w:rsid w:val="004D6117"/>
    <w:rsid w:val="004D66BD"/>
    <w:rsid w:val="004D6A3E"/>
    <w:rsid w:val="004D6E1F"/>
    <w:rsid w:val="004D752B"/>
    <w:rsid w:val="004D79D5"/>
    <w:rsid w:val="004D7A6C"/>
    <w:rsid w:val="004E01CD"/>
    <w:rsid w:val="004E06D2"/>
    <w:rsid w:val="004E0723"/>
    <w:rsid w:val="004E072E"/>
    <w:rsid w:val="004E0E34"/>
    <w:rsid w:val="004E1B2A"/>
    <w:rsid w:val="004E1DE2"/>
    <w:rsid w:val="004E258B"/>
    <w:rsid w:val="004E278B"/>
    <w:rsid w:val="004E3E1B"/>
    <w:rsid w:val="004E48FE"/>
    <w:rsid w:val="004E4FB4"/>
    <w:rsid w:val="004E5243"/>
    <w:rsid w:val="004E5619"/>
    <w:rsid w:val="004E5E6C"/>
    <w:rsid w:val="004E62A9"/>
    <w:rsid w:val="004E6709"/>
    <w:rsid w:val="004E6B7C"/>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472"/>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EBE"/>
    <w:rsid w:val="00524F25"/>
    <w:rsid w:val="00525205"/>
    <w:rsid w:val="00525233"/>
    <w:rsid w:val="0052524B"/>
    <w:rsid w:val="00525276"/>
    <w:rsid w:val="00525B5B"/>
    <w:rsid w:val="00525D51"/>
    <w:rsid w:val="0052717F"/>
    <w:rsid w:val="00530A90"/>
    <w:rsid w:val="0053100B"/>
    <w:rsid w:val="005319B7"/>
    <w:rsid w:val="00531FBF"/>
    <w:rsid w:val="00531FCE"/>
    <w:rsid w:val="005325BB"/>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ACC"/>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105C"/>
    <w:rsid w:val="00562487"/>
    <w:rsid w:val="00562826"/>
    <w:rsid w:val="00562C00"/>
    <w:rsid w:val="00562DA4"/>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A6B"/>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B8A"/>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6968"/>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29BF"/>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325"/>
    <w:rsid w:val="00652628"/>
    <w:rsid w:val="006530F6"/>
    <w:rsid w:val="00653214"/>
    <w:rsid w:val="006532A6"/>
    <w:rsid w:val="00653439"/>
    <w:rsid w:val="00653622"/>
    <w:rsid w:val="00653734"/>
    <w:rsid w:val="00653FF7"/>
    <w:rsid w:val="0065429D"/>
    <w:rsid w:val="00657133"/>
    <w:rsid w:val="0066043C"/>
    <w:rsid w:val="00660760"/>
    <w:rsid w:val="00660C03"/>
    <w:rsid w:val="006611C4"/>
    <w:rsid w:val="00661DA3"/>
    <w:rsid w:val="00661F63"/>
    <w:rsid w:val="0066287E"/>
    <w:rsid w:val="0066304E"/>
    <w:rsid w:val="00663962"/>
    <w:rsid w:val="00663E43"/>
    <w:rsid w:val="006652BC"/>
    <w:rsid w:val="006655E7"/>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46A8"/>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705"/>
    <w:rsid w:val="006A694D"/>
    <w:rsid w:val="006A7AE6"/>
    <w:rsid w:val="006B01FF"/>
    <w:rsid w:val="006B03C6"/>
    <w:rsid w:val="006B1574"/>
    <w:rsid w:val="006B1EB5"/>
    <w:rsid w:val="006B22AB"/>
    <w:rsid w:val="006B3A09"/>
    <w:rsid w:val="006B4F12"/>
    <w:rsid w:val="006B5AC1"/>
    <w:rsid w:val="006B63EE"/>
    <w:rsid w:val="006B6F16"/>
    <w:rsid w:val="006B718E"/>
    <w:rsid w:val="006B734C"/>
    <w:rsid w:val="006B7A65"/>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0AD4"/>
    <w:rsid w:val="006E104E"/>
    <w:rsid w:val="006E189E"/>
    <w:rsid w:val="006E19F7"/>
    <w:rsid w:val="006E1BE3"/>
    <w:rsid w:val="006E241F"/>
    <w:rsid w:val="006E3230"/>
    <w:rsid w:val="006E4FAA"/>
    <w:rsid w:val="006E5101"/>
    <w:rsid w:val="006E526C"/>
    <w:rsid w:val="006E5290"/>
    <w:rsid w:val="006E56F4"/>
    <w:rsid w:val="006E5775"/>
    <w:rsid w:val="006E63D4"/>
    <w:rsid w:val="006E6E8B"/>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5B9F"/>
    <w:rsid w:val="006F612F"/>
    <w:rsid w:val="006F621E"/>
    <w:rsid w:val="006F6862"/>
    <w:rsid w:val="006F79B0"/>
    <w:rsid w:val="0070099B"/>
    <w:rsid w:val="007011CE"/>
    <w:rsid w:val="00701B48"/>
    <w:rsid w:val="00701F45"/>
    <w:rsid w:val="00702707"/>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54C1"/>
    <w:rsid w:val="00717A55"/>
    <w:rsid w:val="00720A3B"/>
    <w:rsid w:val="00720CA1"/>
    <w:rsid w:val="00721CC7"/>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A74"/>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DF0"/>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22D"/>
    <w:rsid w:val="00772316"/>
    <w:rsid w:val="00772339"/>
    <w:rsid w:val="007732EE"/>
    <w:rsid w:val="007739CD"/>
    <w:rsid w:val="00773DAF"/>
    <w:rsid w:val="00774129"/>
    <w:rsid w:val="007743F2"/>
    <w:rsid w:val="00775154"/>
    <w:rsid w:val="00775ACA"/>
    <w:rsid w:val="00776937"/>
    <w:rsid w:val="00776CDB"/>
    <w:rsid w:val="00776DA2"/>
    <w:rsid w:val="0077715C"/>
    <w:rsid w:val="0077725A"/>
    <w:rsid w:val="00777685"/>
    <w:rsid w:val="0078084A"/>
    <w:rsid w:val="00780E3D"/>
    <w:rsid w:val="00780EC3"/>
    <w:rsid w:val="00781A28"/>
    <w:rsid w:val="0078293C"/>
    <w:rsid w:val="0078299E"/>
    <w:rsid w:val="00783124"/>
    <w:rsid w:val="00783341"/>
    <w:rsid w:val="0078359C"/>
    <w:rsid w:val="00783609"/>
    <w:rsid w:val="00783893"/>
    <w:rsid w:val="00783B29"/>
    <w:rsid w:val="00783EFC"/>
    <w:rsid w:val="00784160"/>
    <w:rsid w:val="0078490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3EB"/>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750"/>
    <w:rsid w:val="007A6882"/>
    <w:rsid w:val="007A6A80"/>
    <w:rsid w:val="007A6B1C"/>
    <w:rsid w:val="007A6F9A"/>
    <w:rsid w:val="007A7225"/>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BA"/>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4F25"/>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143"/>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237"/>
    <w:rsid w:val="008133A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1B16"/>
    <w:rsid w:val="008429A7"/>
    <w:rsid w:val="0084312E"/>
    <w:rsid w:val="00843552"/>
    <w:rsid w:val="008436C5"/>
    <w:rsid w:val="008443D9"/>
    <w:rsid w:val="0084493A"/>
    <w:rsid w:val="00844E8F"/>
    <w:rsid w:val="00845137"/>
    <w:rsid w:val="008451A1"/>
    <w:rsid w:val="00845A2E"/>
    <w:rsid w:val="008462EF"/>
    <w:rsid w:val="00847A76"/>
    <w:rsid w:val="00847AF2"/>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5BF"/>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4F"/>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83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395"/>
    <w:rsid w:val="008A5688"/>
    <w:rsid w:val="008A597C"/>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B798D"/>
    <w:rsid w:val="008C0596"/>
    <w:rsid w:val="008C11C1"/>
    <w:rsid w:val="008C185E"/>
    <w:rsid w:val="008C1BF1"/>
    <w:rsid w:val="008C1F5F"/>
    <w:rsid w:val="008C2094"/>
    <w:rsid w:val="008C2651"/>
    <w:rsid w:val="008C282B"/>
    <w:rsid w:val="008C3364"/>
    <w:rsid w:val="008C344A"/>
    <w:rsid w:val="008C383E"/>
    <w:rsid w:val="008C3938"/>
    <w:rsid w:val="008C3B61"/>
    <w:rsid w:val="008C3E0B"/>
    <w:rsid w:val="008C3FAA"/>
    <w:rsid w:val="008C3FBF"/>
    <w:rsid w:val="008C4E59"/>
    <w:rsid w:val="008C53D7"/>
    <w:rsid w:val="008C54C1"/>
    <w:rsid w:val="008C55F5"/>
    <w:rsid w:val="008C5DE3"/>
    <w:rsid w:val="008C6A0A"/>
    <w:rsid w:val="008C7439"/>
    <w:rsid w:val="008C7C91"/>
    <w:rsid w:val="008D013F"/>
    <w:rsid w:val="008D014D"/>
    <w:rsid w:val="008D0438"/>
    <w:rsid w:val="008D0819"/>
    <w:rsid w:val="008D0EBE"/>
    <w:rsid w:val="008D1D81"/>
    <w:rsid w:val="008D26AB"/>
    <w:rsid w:val="008D2A47"/>
    <w:rsid w:val="008D2C7F"/>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1F89"/>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288E"/>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497"/>
    <w:rsid w:val="00902A82"/>
    <w:rsid w:val="00904069"/>
    <w:rsid w:val="00904896"/>
    <w:rsid w:val="00904C8E"/>
    <w:rsid w:val="0090565D"/>
    <w:rsid w:val="00905B94"/>
    <w:rsid w:val="0090609C"/>
    <w:rsid w:val="00906684"/>
    <w:rsid w:val="009066DC"/>
    <w:rsid w:val="0090759F"/>
    <w:rsid w:val="009077CB"/>
    <w:rsid w:val="00907D13"/>
    <w:rsid w:val="009122AC"/>
    <w:rsid w:val="00913B13"/>
    <w:rsid w:val="009143F4"/>
    <w:rsid w:val="0091448B"/>
    <w:rsid w:val="009146F2"/>
    <w:rsid w:val="0091492C"/>
    <w:rsid w:val="00915410"/>
    <w:rsid w:val="00915982"/>
    <w:rsid w:val="00915B1A"/>
    <w:rsid w:val="009163C2"/>
    <w:rsid w:val="0091658A"/>
    <w:rsid w:val="00916783"/>
    <w:rsid w:val="009173E3"/>
    <w:rsid w:val="00917952"/>
    <w:rsid w:val="00920B63"/>
    <w:rsid w:val="009216B5"/>
    <w:rsid w:val="00921A2F"/>
    <w:rsid w:val="0092220C"/>
    <w:rsid w:val="00922A31"/>
    <w:rsid w:val="009230FA"/>
    <w:rsid w:val="00923829"/>
    <w:rsid w:val="0092387B"/>
    <w:rsid w:val="00923AD0"/>
    <w:rsid w:val="00923C00"/>
    <w:rsid w:val="00923D0F"/>
    <w:rsid w:val="00924DB5"/>
    <w:rsid w:val="00925497"/>
    <w:rsid w:val="009254B7"/>
    <w:rsid w:val="0092552A"/>
    <w:rsid w:val="009259AD"/>
    <w:rsid w:val="0092675C"/>
    <w:rsid w:val="00926817"/>
    <w:rsid w:val="00926EC6"/>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1AAF"/>
    <w:rsid w:val="00941CE9"/>
    <w:rsid w:val="00943641"/>
    <w:rsid w:val="00943893"/>
    <w:rsid w:val="009448CD"/>
    <w:rsid w:val="00945120"/>
    <w:rsid w:val="009451EC"/>
    <w:rsid w:val="00945FC3"/>
    <w:rsid w:val="00946CDC"/>
    <w:rsid w:val="00946D12"/>
    <w:rsid w:val="0094715A"/>
    <w:rsid w:val="009502ED"/>
    <w:rsid w:val="00950582"/>
    <w:rsid w:val="00950DD5"/>
    <w:rsid w:val="009512BE"/>
    <w:rsid w:val="00951662"/>
    <w:rsid w:val="00951963"/>
    <w:rsid w:val="00951C49"/>
    <w:rsid w:val="00952A20"/>
    <w:rsid w:val="00952E52"/>
    <w:rsid w:val="0095314F"/>
    <w:rsid w:val="009547E8"/>
    <w:rsid w:val="009554C4"/>
    <w:rsid w:val="00955805"/>
    <w:rsid w:val="00955806"/>
    <w:rsid w:val="009559BF"/>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3763"/>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BD0"/>
    <w:rsid w:val="00976FD4"/>
    <w:rsid w:val="00977292"/>
    <w:rsid w:val="009775FE"/>
    <w:rsid w:val="00977985"/>
    <w:rsid w:val="00977C35"/>
    <w:rsid w:val="00977C4A"/>
    <w:rsid w:val="00981AE1"/>
    <w:rsid w:val="00982DB8"/>
    <w:rsid w:val="0098346E"/>
    <w:rsid w:val="009834DD"/>
    <w:rsid w:val="009839B3"/>
    <w:rsid w:val="00983CBC"/>
    <w:rsid w:val="00983D32"/>
    <w:rsid w:val="00983F85"/>
    <w:rsid w:val="00984620"/>
    <w:rsid w:val="009857F1"/>
    <w:rsid w:val="0098597F"/>
    <w:rsid w:val="00986934"/>
    <w:rsid w:val="00986A55"/>
    <w:rsid w:val="00986CEB"/>
    <w:rsid w:val="00986E92"/>
    <w:rsid w:val="009879B0"/>
    <w:rsid w:val="00987EAE"/>
    <w:rsid w:val="009900A9"/>
    <w:rsid w:val="0099087B"/>
    <w:rsid w:val="00990A00"/>
    <w:rsid w:val="0099175E"/>
    <w:rsid w:val="0099182E"/>
    <w:rsid w:val="009918BE"/>
    <w:rsid w:val="009918EA"/>
    <w:rsid w:val="00992A12"/>
    <w:rsid w:val="00992CE2"/>
    <w:rsid w:val="0099300E"/>
    <w:rsid w:val="00993172"/>
    <w:rsid w:val="0099348D"/>
    <w:rsid w:val="009939BF"/>
    <w:rsid w:val="00994201"/>
    <w:rsid w:val="0099475B"/>
    <w:rsid w:val="00995CB4"/>
    <w:rsid w:val="009967C6"/>
    <w:rsid w:val="00996C89"/>
    <w:rsid w:val="00996F2A"/>
    <w:rsid w:val="00997C89"/>
    <w:rsid w:val="00997DE9"/>
    <w:rsid w:val="009A014C"/>
    <w:rsid w:val="009A0BDE"/>
    <w:rsid w:val="009A0C41"/>
    <w:rsid w:val="009A1822"/>
    <w:rsid w:val="009A2BDF"/>
    <w:rsid w:val="009A33F9"/>
    <w:rsid w:val="009A3AED"/>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4D94"/>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352"/>
    <w:rsid w:val="009C167A"/>
    <w:rsid w:val="009C24BA"/>
    <w:rsid w:val="009C3084"/>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0663"/>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1D1"/>
    <w:rsid w:val="009F15B2"/>
    <w:rsid w:val="009F17AF"/>
    <w:rsid w:val="009F1BB5"/>
    <w:rsid w:val="009F1BD3"/>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487F"/>
    <w:rsid w:val="00A14FC4"/>
    <w:rsid w:val="00A1503F"/>
    <w:rsid w:val="00A15456"/>
    <w:rsid w:val="00A15FC1"/>
    <w:rsid w:val="00A16577"/>
    <w:rsid w:val="00A16911"/>
    <w:rsid w:val="00A169A2"/>
    <w:rsid w:val="00A16F7B"/>
    <w:rsid w:val="00A17017"/>
    <w:rsid w:val="00A17B12"/>
    <w:rsid w:val="00A17BFB"/>
    <w:rsid w:val="00A20561"/>
    <w:rsid w:val="00A2154A"/>
    <w:rsid w:val="00A21EC1"/>
    <w:rsid w:val="00A22ADC"/>
    <w:rsid w:val="00A239E8"/>
    <w:rsid w:val="00A23A11"/>
    <w:rsid w:val="00A23B37"/>
    <w:rsid w:val="00A246CC"/>
    <w:rsid w:val="00A24BDA"/>
    <w:rsid w:val="00A24C57"/>
    <w:rsid w:val="00A2508F"/>
    <w:rsid w:val="00A250A0"/>
    <w:rsid w:val="00A25A10"/>
    <w:rsid w:val="00A26526"/>
    <w:rsid w:val="00A26BD2"/>
    <w:rsid w:val="00A277EE"/>
    <w:rsid w:val="00A3060E"/>
    <w:rsid w:val="00A320CA"/>
    <w:rsid w:val="00A3231D"/>
    <w:rsid w:val="00A33411"/>
    <w:rsid w:val="00A33D50"/>
    <w:rsid w:val="00A344EE"/>
    <w:rsid w:val="00A346ED"/>
    <w:rsid w:val="00A34763"/>
    <w:rsid w:val="00A349AB"/>
    <w:rsid w:val="00A34B50"/>
    <w:rsid w:val="00A34DE0"/>
    <w:rsid w:val="00A35329"/>
    <w:rsid w:val="00A354AC"/>
    <w:rsid w:val="00A358AC"/>
    <w:rsid w:val="00A373CC"/>
    <w:rsid w:val="00A37DA0"/>
    <w:rsid w:val="00A4014E"/>
    <w:rsid w:val="00A4033D"/>
    <w:rsid w:val="00A405E5"/>
    <w:rsid w:val="00A41253"/>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2AAC"/>
    <w:rsid w:val="00A5359F"/>
    <w:rsid w:val="00A535E1"/>
    <w:rsid w:val="00A537EE"/>
    <w:rsid w:val="00A53B97"/>
    <w:rsid w:val="00A54421"/>
    <w:rsid w:val="00A5451C"/>
    <w:rsid w:val="00A54656"/>
    <w:rsid w:val="00A55546"/>
    <w:rsid w:val="00A561FB"/>
    <w:rsid w:val="00A563DC"/>
    <w:rsid w:val="00A5676F"/>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87A4A"/>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5692"/>
    <w:rsid w:val="00A96430"/>
    <w:rsid w:val="00A96572"/>
    <w:rsid w:val="00A96AD0"/>
    <w:rsid w:val="00A9705E"/>
    <w:rsid w:val="00A973F0"/>
    <w:rsid w:val="00A977AC"/>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A7CD5"/>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CEC"/>
    <w:rsid w:val="00AC0DF0"/>
    <w:rsid w:val="00AC1033"/>
    <w:rsid w:val="00AC1853"/>
    <w:rsid w:val="00AC332C"/>
    <w:rsid w:val="00AC3F3E"/>
    <w:rsid w:val="00AC4E4A"/>
    <w:rsid w:val="00AC568E"/>
    <w:rsid w:val="00AC5D6C"/>
    <w:rsid w:val="00AC6691"/>
    <w:rsid w:val="00AC686D"/>
    <w:rsid w:val="00AC77A7"/>
    <w:rsid w:val="00AC7AD2"/>
    <w:rsid w:val="00AC7F42"/>
    <w:rsid w:val="00AC7FED"/>
    <w:rsid w:val="00AD019C"/>
    <w:rsid w:val="00AD1127"/>
    <w:rsid w:val="00AD1632"/>
    <w:rsid w:val="00AD183F"/>
    <w:rsid w:val="00AD257A"/>
    <w:rsid w:val="00AD3035"/>
    <w:rsid w:val="00AD382A"/>
    <w:rsid w:val="00AD3DC8"/>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2EC6"/>
    <w:rsid w:val="00AE37D8"/>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B3"/>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245"/>
    <w:rsid w:val="00B11D8D"/>
    <w:rsid w:val="00B11FD2"/>
    <w:rsid w:val="00B12B96"/>
    <w:rsid w:val="00B12C99"/>
    <w:rsid w:val="00B13593"/>
    <w:rsid w:val="00B14DEF"/>
    <w:rsid w:val="00B14F57"/>
    <w:rsid w:val="00B14F6A"/>
    <w:rsid w:val="00B15298"/>
    <w:rsid w:val="00B1600B"/>
    <w:rsid w:val="00B16177"/>
    <w:rsid w:val="00B161F1"/>
    <w:rsid w:val="00B1634B"/>
    <w:rsid w:val="00B16E3C"/>
    <w:rsid w:val="00B171D6"/>
    <w:rsid w:val="00B175F9"/>
    <w:rsid w:val="00B179C1"/>
    <w:rsid w:val="00B17AB1"/>
    <w:rsid w:val="00B17DFC"/>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440"/>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5A7B"/>
    <w:rsid w:val="00BB644C"/>
    <w:rsid w:val="00BB6738"/>
    <w:rsid w:val="00BB759A"/>
    <w:rsid w:val="00BB7EC2"/>
    <w:rsid w:val="00BC1C52"/>
    <w:rsid w:val="00BC2E9C"/>
    <w:rsid w:val="00BC3857"/>
    <w:rsid w:val="00BC3B61"/>
    <w:rsid w:val="00BC3B86"/>
    <w:rsid w:val="00BC3C25"/>
    <w:rsid w:val="00BC42D9"/>
    <w:rsid w:val="00BC431B"/>
    <w:rsid w:val="00BC5829"/>
    <w:rsid w:val="00BC597D"/>
    <w:rsid w:val="00BC5B93"/>
    <w:rsid w:val="00BC5C8A"/>
    <w:rsid w:val="00BC5E4F"/>
    <w:rsid w:val="00BC67EC"/>
    <w:rsid w:val="00BC6A57"/>
    <w:rsid w:val="00BC6FF0"/>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A72"/>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27D9"/>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27E68"/>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0A25"/>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28C"/>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0965"/>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3B24"/>
    <w:rsid w:val="00C847D6"/>
    <w:rsid w:val="00C84B4A"/>
    <w:rsid w:val="00C8589E"/>
    <w:rsid w:val="00C85DFD"/>
    <w:rsid w:val="00C860D5"/>
    <w:rsid w:val="00C86441"/>
    <w:rsid w:val="00C86FBA"/>
    <w:rsid w:val="00C90AEF"/>
    <w:rsid w:val="00C90B4B"/>
    <w:rsid w:val="00C91DB1"/>
    <w:rsid w:val="00C91E90"/>
    <w:rsid w:val="00C9216F"/>
    <w:rsid w:val="00C922A4"/>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5E8"/>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751"/>
    <w:rsid w:val="00CB49F9"/>
    <w:rsid w:val="00CB4AFE"/>
    <w:rsid w:val="00CB4D3A"/>
    <w:rsid w:val="00CB4D41"/>
    <w:rsid w:val="00CB510C"/>
    <w:rsid w:val="00CB58D5"/>
    <w:rsid w:val="00CB6B68"/>
    <w:rsid w:val="00CB6EB0"/>
    <w:rsid w:val="00CC14FD"/>
    <w:rsid w:val="00CC155C"/>
    <w:rsid w:val="00CC1765"/>
    <w:rsid w:val="00CC1EDB"/>
    <w:rsid w:val="00CC331B"/>
    <w:rsid w:val="00CC3591"/>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1E1"/>
    <w:rsid w:val="00CE1A85"/>
    <w:rsid w:val="00CE1F99"/>
    <w:rsid w:val="00CE2070"/>
    <w:rsid w:val="00CE24A9"/>
    <w:rsid w:val="00CE27FB"/>
    <w:rsid w:val="00CE39AA"/>
    <w:rsid w:val="00CE464B"/>
    <w:rsid w:val="00CE4804"/>
    <w:rsid w:val="00CE4C19"/>
    <w:rsid w:val="00CE58C4"/>
    <w:rsid w:val="00CE62B7"/>
    <w:rsid w:val="00CE6DE2"/>
    <w:rsid w:val="00CE7CCC"/>
    <w:rsid w:val="00CF01C4"/>
    <w:rsid w:val="00CF0DF2"/>
    <w:rsid w:val="00CF12FF"/>
    <w:rsid w:val="00CF3E48"/>
    <w:rsid w:val="00CF4F51"/>
    <w:rsid w:val="00CF513C"/>
    <w:rsid w:val="00CF5BA2"/>
    <w:rsid w:val="00CF611F"/>
    <w:rsid w:val="00CF6ADA"/>
    <w:rsid w:val="00CF74D6"/>
    <w:rsid w:val="00CF7CC3"/>
    <w:rsid w:val="00D01DFF"/>
    <w:rsid w:val="00D01EFE"/>
    <w:rsid w:val="00D02606"/>
    <w:rsid w:val="00D029D0"/>
    <w:rsid w:val="00D03296"/>
    <w:rsid w:val="00D0376E"/>
    <w:rsid w:val="00D043DA"/>
    <w:rsid w:val="00D04ECF"/>
    <w:rsid w:val="00D056C5"/>
    <w:rsid w:val="00D061A1"/>
    <w:rsid w:val="00D06310"/>
    <w:rsid w:val="00D06686"/>
    <w:rsid w:val="00D066B8"/>
    <w:rsid w:val="00D0721D"/>
    <w:rsid w:val="00D07484"/>
    <w:rsid w:val="00D10DCF"/>
    <w:rsid w:val="00D124E2"/>
    <w:rsid w:val="00D12769"/>
    <w:rsid w:val="00D13230"/>
    <w:rsid w:val="00D13492"/>
    <w:rsid w:val="00D134BA"/>
    <w:rsid w:val="00D13EB6"/>
    <w:rsid w:val="00D145B2"/>
    <w:rsid w:val="00D14E3F"/>
    <w:rsid w:val="00D15766"/>
    <w:rsid w:val="00D159C1"/>
    <w:rsid w:val="00D171D0"/>
    <w:rsid w:val="00D17AD8"/>
    <w:rsid w:val="00D20108"/>
    <w:rsid w:val="00D21059"/>
    <w:rsid w:val="00D216AF"/>
    <w:rsid w:val="00D21F3E"/>
    <w:rsid w:val="00D22A4D"/>
    <w:rsid w:val="00D22D4C"/>
    <w:rsid w:val="00D232FA"/>
    <w:rsid w:val="00D234F3"/>
    <w:rsid w:val="00D23771"/>
    <w:rsid w:val="00D23EAA"/>
    <w:rsid w:val="00D2444E"/>
    <w:rsid w:val="00D25A07"/>
    <w:rsid w:val="00D25AE4"/>
    <w:rsid w:val="00D26A54"/>
    <w:rsid w:val="00D2730A"/>
    <w:rsid w:val="00D27C67"/>
    <w:rsid w:val="00D30063"/>
    <w:rsid w:val="00D3076E"/>
    <w:rsid w:val="00D30918"/>
    <w:rsid w:val="00D3101F"/>
    <w:rsid w:val="00D316ED"/>
    <w:rsid w:val="00D31F1A"/>
    <w:rsid w:val="00D323A1"/>
    <w:rsid w:val="00D327A4"/>
    <w:rsid w:val="00D32ECF"/>
    <w:rsid w:val="00D332EB"/>
    <w:rsid w:val="00D34433"/>
    <w:rsid w:val="00D34834"/>
    <w:rsid w:val="00D354BD"/>
    <w:rsid w:val="00D35D98"/>
    <w:rsid w:val="00D36057"/>
    <w:rsid w:val="00D36876"/>
    <w:rsid w:val="00D37447"/>
    <w:rsid w:val="00D408AF"/>
    <w:rsid w:val="00D410FE"/>
    <w:rsid w:val="00D4159A"/>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209"/>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2B76"/>
    <w:rsid w:val="00D63588"/>
    <w:rsid w:val="00D63A6E"/>
    <w:rsid w:val="00D640F4"/>
    <w:rsid w:val="00D64314"/>
    <w:rsid w:val="00D6458F"/>
    <w:rsid w:val="00D647F8"/>
    <w:rsid w:val="00D65253"/>
    <w:rsid w:val="00D65426"/>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25C"/>
    <w:rsid w:val="00D767C5"/>
    <w:rsid w:val="00D777EE"/>
    <w:rsid w:val="00D77B44"/>
    <w:rsid w:val="00D77CE2"/>
    <w:rsid w:val="00D77EA1"/>
    <w:rsid w:val="00D80359"/>
    <w:rsid w:val="00D808C2"/>
    <w:rsid w:val="00D80D32"/>
    <w:rsid w:val="00D80EEF"/>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65F4"/>
    <w:rsid w:val="00D87683"/>
    <w:rsid w:val="00D87D15"/>
    <w:rsid w:val="00D90280"/>
    <w:rsid w:val="00D90766"/>
    <w:rsid w:val="00D907D7"/>
    <w:rsid w:val="00D90C6D"/>
    <w:rsid w:val="00D90FEB"/>
    <w:rsid w:val="00D915D8"/>
    <w:rsid w:val="00D91695"/>
    <w:rsid w:val="00D91851"/>
    <w:rsid w:val="00D91FA1"/>
    <w:rsid w:val="00D920A6"/>
    <w:rsid w:val="00D9331E"/>
    <w:rsid w:val="00D93BAD"/>
    <w:rsid w:val="00D941AB"/>
    <w:rsid w:val="00D94A40"/>
    <w:rsid w:val="00D954F5"/>
    <w:rsid w:val="00D9581D"/>
    <w:rsid w:val="00D96577"/>
    <w:rsid w:val="00D96C9A"/>
    <w:rsid w:val="00D9747C"/>
    <w:rsid w:val="00D97E0F"/>
    <w:rsid w:val="00DA072B"/>
    <w:rsid w:val="00DA0795"/>
    <w:rsid w:val="00DA0F58"/>
    <w:rsid w:val="00DA1B03"/>
    <w:rsid w:val="00DA1BA6"/>
    <w:rsid w:val="00DA31FD"/>
    <w:rsid w:val="00DA36FB"/>
    <w:rsid w:val="00DA37A7"/>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1BA"/>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0ED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15E"/>
    <w:rsid w:val="00DD2435"/>
    <w:rsid w:val="00DD2C89"/>
    <w:rsid w:val="00DD3CBA"/>
    <w:rsid w:val="00DD46B4"/>
    <w:rsid w:val="00DD4EB9"/>
    <w:rsid w:val="00DD51A0"/>
    <w:rsid w:val="00DD70C8"/>
    <w:rsid w:val="00DD75A3"/>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6E5"/>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31A3"/>
    <w:rsid w:val="00DF4C4B"/>
    <w:rsid w:val="00DF4E6C"/>
    <w:rsid w:val="00DF5EA7"/>
    <w:rsid w:val="00DF68FE"/>
    <w:rsid w:val="00DF690E"/>
    <w:rsid w:val="00DF772C"/>
    <w:rsid w:val="00DF77EB"/>
    <w:rsid w:val="00DF7B53"/>
    <w:rsid w:val="00DF7BAE"/>
    <w:rsid w:val="00DF7D9A"/>
    <w:rsid w:val="00E00299"/>
    <w:rsid w:val="00E025D9"/>
    <w:rsid w:val="00E02C1C"/>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1C3"/>
    <w:rsid w:val="00E15C82"/>
    <w:rsid w:val="00E15CED"/>
    <w:rsid w:val="00E15DC9"/>
    <w:rsid w:val="00E15E78"/>
    <w:rsid w:val="00E15EB5"/>
    <w:rsid w:val="00E167C8"/>
    <w:rsid w:val="00E16923"/>
    <w:rsid w:val="00E16C29"/>
    <w:rsid w:val="00E16C87"/>
    <w:rsid w:val="00E16E94"/>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192"/>
    <w:rsid w:val="00E2638A"/>
    <w:rsid w:val="00E26C7B"/>
    <w:rsid w:val="00E27D60"/>
    <w:rsid w:val="00E30385"/>
    <w:rsid w:val="00E3046F"/>
    <w:rsid w:val="00E31D1A"/>
    <w:rsid w:val="00E31ECF"/>
    <w:rsid w:val="00E32025"/>
    <w:rsid w:val="00E32CEF"/>
    <w:rsid w:val="00E33404"/>
    <w:rsid w:val="00E3379A"/>
    <w:rsid w:val="00E341E6"/>
    <w:rsid w:val="00E34420"/>
    <w:rsid w:val="00E34EDF"/>
    <w:rsid w:val="00E3538B"/>
    <w:rsid w:val="00E35FDD"/>
    <w:rsid w:val="00E37021"/>
    <w:rsid w:val="00E3702D"/>
    <w:rsid w:val="00E3789A"/>
    <w:rsid w:val="00E40A75"/>
    <w:rsid w:val="00E40B89"/>
    <w:rsid w:val="00E410D7"/>
    <w:rsid w:val="00E410EA"/>
    <w:rsid w:val="00E41211"/>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94"/>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8A3"/>
    <w:rsid w:val="00E73A34"/>
    <w:rsid w:val="00E73B7D"/>
    <w:rsid w:val="00E73E3A"/>
    <w:rsid w:val="00E73F44"/>
    <w:rsid w:val="00E742B8"/>
    <w:rsid w:val="00E74CCC"/>
    <w:rsid w:val="00E74E9B"/>
    <w:rsid w:val="00E75697"/>
    <w:rsid w:val="00E75E88"/>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2858"/>
    <w:rsid w:val="00E83006"/>
    <w:rsid w:val="00E8303D"/>
    <w:rsid w:val="00E8479B"/>
    <w:rsid w:val="00E8495A"/>
    <w:rsid w:val="00E852E9"/>
    <w:rsid w:val="00E8532B"/>
    <w:rsid w:val="00E854F9"/>
    <w:rsid w:val="00E85647"/>
    <w:rsid w:val="00E85EDC"/>
    <w:rsid w:val="00E867CE"/>
    <w:rsid w:val="00E86CBA"/>
    <w:rsid w:val="00E9030C"/>
    <w:rsid w:val="00E91579"/>
    <w:rsid w:val="00E91C6C"/>
    <w:rsid w:val="00E927CE"/>
    <w:rsid w:val="00E92A27"/>
    <w:rsid w:val="00E92D0E"/>
    <w:rsid w:val="00E931B7"/>
    <w:rsid w:val="00E93371"/>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E22"/>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1C8"/>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6C57"/>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290F"/>
    <w:rsid w:val="00EE3310"/>
    <w:rsid w:val="00EE3610"/>
    <w:rsid w:val="00EE3648"/>
    <w:rsid w:val="00EE40E6"/>
    <w:rsid w:val="00EE4236"/>
    <w:rsid w:val="00EE42EF"/>
    <w:rsid w:val="00EE48F0"/>
    <w:rsid w:val="00EE4D55"/>
    <w:rsid w:val="00EE5322"/>
    <w:rsid w:val="00EE5BF0"/>
    <w:rsid w:val="00EE610E"/>
    <w:rsid w:val="00EE62B0"/>
    <w:rsid w:val="00EE6AE5"/>
    <w:rsid w:val="00EE6D0E"/>
    <w:rsid w:val="00EE7C47"/>
    <w:rsid w:val="00EF0CFF"/>
    <w:rsid w:val="00EF1052"/>
    <w:rsid w:val="00EF1143"/>
    <w:rsid w:val="00EF1A3B"/>
    <w:rsid w:val="00EF268C"/>
    <w:rsid w:val="00EF27F0"/>
    <w:rsid w:val="00EF2CCD"/>
    <w:rsid w:val="00EF3354"/>
    <w:rsid w:val="00EF34F4"/>
    <w:rsid w:val="00EF362B"/>
    <w:rsid w:val="00EF3A34"/>
    <w:rsid w:val="00EF3B7C"/>
    <w:rsid w:val="00EF56EC"/>
    <w:rsid w:val="00EF5793"/>
    <w:rsid w:val="00EF5E34"/>
    <w:rsid w:val="00EF5F77"/>
    <w:rsid w:val="00EF641E"/>
    <w:rsid w:val="00EF6424"/>
    <w:rsid w:val="00EF6C09"/>
    <w:rsid w:val="00EF764E"/>
    <w:rsid w:val="00EF7A52"/>
    <w:rsid w:val="00F01780"/>
    <w:rsid w:val="00F01B4F"/>
    <w:rsid w:val="00F02013"/>
    <w:rsid w:val="00F020C2"/>
    <w:rsid w:val="00F02152"/>
    <w:rsid w:val="00F023D1"/>
    <w:rsid w:val="00F02868"/>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242"/>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7EF"/>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4BB"/>
    <w:rsid w:val="00F365A7"/>
    <w:rsid w:val="00F375C9"/>
    <w:rsid w:val="00F40964"/>
    <w:rsid w:val="00F40E09"/>
    <w:rsid w:val="00F4117C"/>
    <w:rsid w:val="00F41188"/>
    <w:rsid w:val="00F4128F"/>
    <w:rsid w:val="00F41392"/>
    <w:rsid w:val="00F42292"/>
    <w:rsid w:val="00F42438"/>
    <w:rsid w:val="00F42CEB"/>
    <w:rsid w:val="00F42F0C"/>
    <w:rsid w:val="00F43444"/>
    <w:rsid w:val="00F434B4"/>
    <w:rsid w:val="00F43AD6"/>
    <w:rsid w:val="00F44297"/>
    <w:rsid w:val="00F44B06"/>
    <w:rsid w:val="00F45309"/>
    <w:rsid w:val="00F458EB"/>
    <w:rsid w:val="00F46423"/>
    <w:rsid w:val="00F46769"/>
    <w:rsid w:val="00F46B26"/>
    <w:rsid w:val="00F46D21"/>
    <w:rsid w:val="00F46DB5"/>
    <w:rsid w:val="00F473FF"/>
    <w:rsid w:val="00F47E6A"/>
    <w:rsid w:val="00F50220"/>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67436"/>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776B5"/>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6DB"/>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9E6"/>
    <w:rsid w:val="00FB1F4D"/>
    <w:rsid w:val="00FB2035"/>
    <w:rsid w:val="00FB217C"/>
    <w:rsid w:val="00FB2837"/>
    <w:rsid w:val="00FB2EF2"/>
    <w:rsid w:val="00FB3B43"/>
    <w:rsid w:val="00FB430F"/>
    <w:rsid w:val="00FB437D"/>
    <w:rsid w:val="00FB5134"/>
    <w:rsid w:val="00FB5423"/>
    <w:rsid w:val="00FB56B4"/>
    <w:rsid w:val="00FB5A76"/>
    <w:rsid w:val="00FB6045"/>
    <w:rsid w:val="00FB6260"/>
    <w:rsid w:val="00FB6368"/>
    <w:rsid w:val="00FB716E"/>
    <w:rsid w:val="00FB7C82"/>
    <w:rsid w:val="00FC053A"/>
    <w:rsid w:val="00FC054E"/>
    <w:rsid w:val="00FC122B"/>
    <w:rsid w:val="00FC1D4A"/>
    <w:rsid w:val="00FC1D7F"/>
    <w:rsid w:val="00FC2217"/>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0B0E"/>
    <w:rsid w:val="00FD13FD"/>
    <w:rsid w:val="00FD1403"/>
    <w:rsid w:val="00FD208A"/>
    <w:rsid w:val="00FD259D"/>
    <w:rsid w:val="00FD296D"/>
    <w:rsid w:val="00FD2E28"/>
    <w:rsid w:val="00FD31A9"/>
    <w:rsid w:val="00FD329B"/>
    <w:rsid w:val="00FD445B"/>
    <w:rsid w:val="00FD46E3"/>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B39"/>
    <w:rsid w:val="00FF0CCA"/>
    <w:rsid w:val="00FF0DA7"/>
    <w:rsid w:val="00FF2D2B"/>
    <w:rsid w:val="00FF2E29"/>
    <w:rsid w:val="00FF3341"/>
    <w:rsid w:val="00FF404A"/>
    <w:rsid w:val="00FF5005"/>
    <w:rsid w:val="00FF5B8A"/>
    <w:rsid w:val="00FF650D"/>
    <w:rsid w:val="00FF6EE4"/>
    <w:rsid w:val="02AF3174"/>
    <w:rsid w:val="04111094"/>
    <w:rsid w:val="0490638E"/>
    <w:rsid w:val="06152829"/>
    <w:rsid w:val="06CC2A87"/>
    <w:rsid w:val="06E55ACF"/>
    <w:rsid w:val="077F04D9"/>
    <w:rsid w:val="080F6B12"/>
    <w:rsid w:val="09687F36"/>
    <w:rsid w:val="0B057CFB"/>
    <w:rsid w:val="0C4F656A"/>
    <w:rsid w:val="0CB04199"/>
    <w:rsid w:val="0DD359BA"/>
    <w:rsid w:val="0DDD51F1"/>
    <w:rsid w:val="0E444989"/>
    <w:rsid w:val="0F7475AE"/>
    <w:rsid w:val="0FB7580A"/>
    <w:rsid w:val="0FC6688A"/>
    <w:rsid w:val="108D1707"/>
    <w:rsid w:val="13232D35"/>
    <w:rsid w:val="158B5FE6"/>
    <w:rsid w:val="17650D6F"/>
    <w:rsid w:val="18075181"/>
    <w:rsid w:val="184B7AF2"/>
    <w:rsid w:val="1AE041B2"/>
    <w:rsid w:val="1CA3450A"/>
    <w:rsid w:val="1E246B67"/>
    <w:rsid w:val="1E5701E1"/>
    <w:rsid w:val="20242017"/>
    <w:rsid w:val="214135E7"/>
    <w:rsid w:val="2523151F"/>
    <w:rsid w:val="270C5387"/>
    <w:rsid w:val="27F31009"/>
    <w:rsid w:val="28101153"/>
    <w:rsid w:val="289A4890"/>
    <w:rsid w:val="2913307B"/>
    <w:rsid w:val="2BF10707"/>
    <w:rsid w:val="2CA241C4"/>
    <w:rsid w:val="2F4807C7"/>
    <w:rsid w:val="30FB364B"/>
    <w:rsid w:val="327370F9"/>
    <w:rsid w:val="366803A8"/>
    <w:rsid w:val="37B8766E"/>
    <w:rsid w:val="381A0ADD"/>
    <w:rsid w:val="39CE2422"/>
    <w:rsid w:val="3ACF398B"/>
    <w:rsid w:val="3D4601A5"/>
    <w:rsid w:val="3F9D6DD3"/>
    <w:rsid w:val="3FF646F8"/>
    <w:rsid w:val="41FD38C3"/>
    <w:rsid w:val="423A25CF"/>
    <w:rsid w:val="426E11B4"/>
    <w:rsid w:val="42890AC7"/>
    <w:rsid w:val="42E4469A"/>
    <w:rsid w:val="43A27541"/>
    <w:rsid w:val="43E40964"/>
    <w:rsid w:val="44167C39"/>
    <w:rsid w:val="44BF0095"/>
    <w:rsid w:val="457A6AA9"/>
    <w:rsid w:val="45956319"/>
    <w:rsid w:val="46080375"/>
    <w:rsid w:val="47530241"/>
    <w:rsid w:val="48D93007"/>
    <w:rsid w:val="49471751"/>
    <w:rsid w:val="49D61E99"/>
    <w:rsid w:val="4BAC20C5"/>
    <w:rsid w:val="4BC5292E"/>
    <w:rsid w:val="4CB34F6E"/>
    <w:rsid w:val="4CE95268"/>
    <w:rsid w:val="4DF74140"/>
    <w:rsid w:val="4DFB7782"/>
    <w:rsid w:val="4EFE34E6"/>
    <w:rsid w:val="4FF74B26"/>
    <w:rsid w:val="510374A0"/>
    <w:rsid w:val="517E5455"/>
    <w:rsid w:val="52177748"/>
    <w:rsid w:val="538D0E7A"/>
    <w:rsid w:val="55597ADB"/>
    <w:rsid w:val="563170F6"/>
    <w:rsid w:val="5889054F"/>
    <w:rsid w:val="5C8100EF"/>
    <w:rsid w:val="5D550F1A"/>
    <w:rsid w:val="5E5937E7"/>
    <w:rsid w:val="5E9505C0"/>
    <w:rsid w:val="604D7639"/>
    <w:rsid w:val="626612D7"/>
    <w:rsid w:val="62EB2566"/>
    <w:rsid w:val="645951EC"/>
    <w:rsid w:val="660901C1"/>
    <w:rsid w:val="666D1928"/>
    <w:rsid w:val="671C46C1"/>
    <w:rsid w:val="678E06E3"/>
    <w:rsid w:val="68553EE9"/>
    <w:rsid w:val="69713E00"/>
    <w:rsid w:val="6990520B"/>
    <w:rsid w:val="6A127B12"/>
    <w:rsid w:val="6ADE5CCA"/>
    <w:rsid w:val="6AE702AE"/>
    <w:rsid w:val="6D5B21F7"/>
    <w:rsid w:val="6D6946B9"/>
    <w:rsid w:val="74C716DA"/>
    <w:rsid w:val="75863B26"/>
    <w:rsid w:val="763C2E9B"/>
    <w:rsid w:val="76BC4A12"/>
    <w:rsid w:val="78416B7C"/>
    <w:rsid w:val="78B75F18"/>
    <w:rsid w:val="78FE5FFC"/>
    <w:rsid w:val="7BAA691D"/>
    <w:rsid w:val="7F5151E9"/>
    <w:rsid w:val="7F76266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6"/>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4"/>
    <w:next w:val="1"/>
    <w:link w:val="29"/>
    <w:qFormat/>
    <w:uiPriority w:val="0"/>
    <w:pPr>
      <w:numPr>
        <w:ilvl w:val="3"/>
      </w:numPr>
      <w:outlineLvl w:val="3"/>
    </w:pPr>
    <w:rPr>
      <w:sz w:val="24"/>
      <w:szCs w:val="24"/>
    </w:rPr>
  </w:style>
  <w:style w:type="paragraph" w:styleId="6">
    <w:name w:val="heading 5"/>
    <w:basedOn w:val="5"/>
    <w:next w:val="1"/>
    <w:link w:val="30"/>
    <w:qFormat/>
    <w:uiPriority w:val="0"/>
    <w:pPr>
      <w:numPr>
        <w:ilvl w:val="4"/>
      </w:num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9"/>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6"/>
    <w:semiHidden/>
    <w:unhideWhenUsed/>
    <w:qFormat/>
    <w:uiPriority w:val="99"/>
  </w:style>
  <w:style w:type="paragraph" w:styleId="13">
    <w:name w:val="annotation text"/>
    <w:basedOn w:val="1"/>
    <w:link w:val="37"/>
    <w:qFormat/>
    <w:uiPriority w:val="0"/>
  </w:style>
  <w:style w:type="paragraph" w:styleId="14">
    <w:name w:val="Balloon Text"/>
    <w:basedOn w:val="1"/>
    <w:link w:val="47"/>
    <w:semiHidden/>
    <w:unhideWhenUsed/>
    <w:qFormat/>
    <w:uiPriority w:val="99"/>
    <w:pPr>
      <w:spacing w:after="0"/>
    </w:pPr>
    <w:rPr>
      <w:rFonts w:ascii="Segoe UI" w:hAnsi="Segoe UI" w:cs="Segoe UI"/>
      <w:sz w:val="18"/>
      <w:szCs w:val="18"/>
    </w:rPr>
  </w:style>
  <w:style w:type="paragraph" w:styleId="15">
    <w:name w:val="footer"/>
    <w:basedOn w:val="16"/>
    <w:link w:val="36"/>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5"/>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Normal (Web)"/>
    <w:basedOn w:val="1"/>
    <w:semiHidden/>
    <w:unhideWhenUsed/>
    <w:qFormat/>
    <w:uiPriority w:val="99"/>
    <w:rPr>
      <w:sz w:val="24"/>
    </w:rPr>
  </w:style>
  <w:style w:type="paragraph" w:styleId="19">
    <w:name w:val="annotation subject"/>
    <w:basedOn w:val="13"/>
    <w:next w:val="13"/>
    <w:link w:val="48"/>
    <w:semiHidden/>
    <w:unhideWhenUsed/>
    <w:qFormat/>
    <w:uiPriority w:val="99"/>
    <w:rPr>
      <w:b/>
      <w:bCs/>
    </w:rPr>
  </w:style>
  <w:style w:type="table" w:styleId="21">
    <w:name w:val="Table Grid"/>
    <w:basedOn w:val="2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semiHidden/>
    <w:qFormat/>
    <w:uiPriority w:val="0"/>
  </w:style>
  <w:style w:type="character" w:styleId="24">
    <w:name w:val="Hyperlink"/>
    <w:qFormat/>
    <w:uiPriority w:val="99"/>
    <w:rPr>
      <w:color w:val="0000FF"/>
      <w:u w:val="single"/>
      <w:lang w:val="en-GB"/>
    </w:rPr>
  </w:style>
  <w:style w:type="character" w:styleId="25">
    <w:name w:val="annotation reference"/>
    <w:qFormat/>
    <w:uiPriority w:val="0"/>
    <w:rPr>
      <w:sz w:val="16"/>
      <w:szCs w:val="16"/>
    </w:rPr>
  </w:style>
  <w:style w:type="character" w:customStyle="1" w:styleId="26">
    <w:name w:val="标题 1 字符"/>
    <w:basedOn w:val="22"/>
    <w:link w:val="2"/>
    <w:qFormat/>
    <w:uiPriority w:val="0"/>
    <w:rPr>
      <w:rFonts w:ascii="Arial" w:hAnsi="Arial" w:eastAsia="Times New Roman" w:cs="Arial"/>
      <w:sz w:val="36"/>
      <w:szCs w:val="36"/>
      <w:lang w:val="en-GB" w:eastAsia="zh-CN"/>
    </w:rPr>
  </w:style>
  <w:style w:type="character" w:customStyle="1" w:styleId="27">
    <w:name w:val="标题 2 字符"/>
    <w:basedOn w:val="22"/>
    <w:link w:val="3"/>
    <w:qFormat/>
    <w:uiPriority w:val="0"/>
    <w:rPr>
      <w:rFonts w:ascii="Arial" w:hAnsi="Arial" w:eastAsia="Times New Roman" w:cs="Arial"/>
      <w:sz w:val="32"/>
      <w:szCs w:val="32"/>
      <w:lang w:val="en-GB" w:eastAsia="zh-CN"/>
    </w:rPr>
  </w:style>
  <w:style w:type="character" w:customStyle="1" w:styleId="28">
    <w:name w:val="标题 3 字符"/>
    <w:basedOn w:val="22"/>
    <w:link w:val="4"/>
    <w:qFormat/>
    <w:uiPriority w:val="0"/>
    <w:rPr>
      <w:rFonts w:ascii="Arial" w:hAnsi="Arial" w:eastAsia="Times New Roman" w:cs="Arial"/>
      <w:sz w:val="28"/>
      <w:szCs w:val="28"/>
      <w:lang w:val="en-GB" w:eastAsia="zh-CN"/>
    </w:rPr>
  </w:style>
  <w:style w:type="character" w:customStyle="1" w:styleId="29">
    <w:name w:val="标题 4 字符"/>
    <w:basedOn w:val="22"/>
    <w:link w:val="5"/>
    <w:qFormat/>
    <w:uiPriority w:val="0"/>
    <w:rPr>
      <w:rFonts w:ascii="Arial" w:hAnsi="Arial" w:eastAsia="Times New Roman" w:cs="Arial"/>
      <w:sz w:val="24"/>
      <w:szCs w:val="24"/>
      <w:lang w:val="en-GB" w:eastAsia="zh-CN"/>
    </w:rPr>
  </w:style>
  <w:style w:type="character" w:customStyle="1" w:styleId="30">
    <w:name w:val="标题 5 字符"/>
    <w:basedOn w:val="22"/>
    <w:link w:val="6"/>
    <w:qFormat/>
    <w:uiPriority w:val="0"/>
    <w:rPr>
      <w:rFonts w:ascii="Arial" w:hAnsi="Arial" w:eastAsia="Times New Roman" w:cs="Arial"/>
      <w:lang w:val="en-GB" w:eastAsia="zh-CN"/>
    </w:rPr>
  </w:style>
  <w:style w:type="character" w:customStyle="1" w:styleId="31">
    <w:name w:val="标题 6 字符"/>
    <w:basedOn w:val="22"/>
    <w:link w:val="7"/>
    <w:qFormat/>
    <w:uiPriority w:val="0"/>
    <w:rPr>
      <w:rFonts w:ascii="Arial" w:hAnsi="Arial" w:eastAsia="Times New Roman" w:cs="Arial"/>
      <w:sz w:val="20"/>
      <w:szCs w:val="20"/>
      <w:lang w:val="en-GB" w:eastAsia="zh-CN"/>
    </w:rPr>
  </w:style>
  <w:style w:type="character" w:customStyle="1" w:styleId="32">
    <w:name w:val="标题 7 字符"/>
    <w:basedOn w:val="22"/>
    <w:link w:val="8"/>
    <w:qFormat/>
    <w:uiPriority w:val="0"/>
    <w:rPr>
      <w:rFonts w:ascii="Arial" w:hAnsi="Arial" w:eastAsia="Times New Roman" w:cs="Arial"/>
      <w:sz w:val="20"/>
      <w:szCs w:val="20"/>
      <w:lang w:val="en-GB" w:eastAsia="zh-CN"/>
    </w:rPr>
  </w:style>
  <w:style w:type="character" w:customStyle="1" w:styleId="33">
    <w:name w:val="标题 8 字符"/>
    <w:basedOn w:val="22"/>
    <w:link w:val="9"/>
    <w:qFormat/>
    <w:uiPriority w:val="0"/>
    <w:rPr>
      <w:rFonts w:ascii="Arial" w:hAnsi="Arial" w:eastAsia="Times New Roman" w:cs="Arial"/>
      <w:sz w:val="20"/>
      <w:szCs w:val="20"/>
      <w:lang w:val="en-GB" w:eastAsia="zh-CN"/>
    </w:rPr>
  </w:style>
  <w:style w:type="character" w:customStyle="1" w:styleId="34">
    <w:name w:val="标题 9 字符"/>
    <w:basedOn w:val="22"/>
    <w:link w:val="10"/>
    <w:qFormat/>
    <w:uiPriority w:val="0"/>
    <w:rPr>
      <w:rFonts w:ascii="Arial" w:hAnsi="Arial" w:eastAsia="Times New Roman" w:cs="Arial"/>
      <w:sz w:val="20"/>
      <w:szCs w:val="20"/>
      <w:lang w:val="en-GB" w:eastAsia="zh-CN"/>
    </w:rPr>
  </w:style>
  <w:style w:type="paragraph" w:customStyle="1" w:styleId="35">
    <w:name w:val="3GPP_Header"/>
    <w:basedOn w:val="1"/>
    <w:qFormat/>
    <w:uiPriority w:val="0"/>
    <w:pPr>
      <w:tabs>
        <w:tab w:val="left" w:pos="1701"/>
        <w:tab w:val="right" w:pos="9639"/>
      </w:tabs>
      <w:spacing w:after="240"/>
    </w:pPr>
    <w:rPr>
      <w:b/>
      <w:sz w:val="24"/>
    </w:rPr>
  </w:style>
  <w:style w:type="character" w:customStyle="1" w:styleId="36">
    <w:name w:val="页脚 字符"/>
    <w:basedOn w:val="22"/>
    <w:link w:val="15"/>
    <w:qFormat/>
    <w:uiPriority w:val="99"/>
    <w:rPr>
      <w:rFonts w:ascii="Arial" w:hAnsi="Arial" w:eastAsia="Times New Roman" w:cs="Arial"/>
      <w:b/>
      <w:bCs/>
      <w:i/>
      <w:iCs/>
      <w:sz w:val="18"/>
      <w:szCs w:val="18"/>
      <w:lang w:val="en-US" w:eastAsia="zh-CN"/>
    </w:rPr>
  </w:style>
  <w:style w:type="character" w:customStyle="1" w:styleId="37">
    <w:name w:val="批注文字 字符"/>
    <w:basedOn w:val="22"/>
    <w:link w:val="13"/>
    <w:qFormat/>
    <w:uiPriority w:val="0"/>
    <w:rPr>
      <w:rFonts w:ascii="Arial" w:hAnsi="Arial" w:eastAsia="Times New Roman" w:cs="Times New Roman"/>
      <w:sz w:val="20"/>
      <w:szCs w:val="20"/>
      <w:lang w:val="en-GB" w:eastAsia="zh-CN"/>
    </w:rPr>
  </w:style>
  <w:style w:type="paragraph" w:customStyle="1" w:styleId="38">
    <w:name w:val="B1"/>
    <w:basedOn w:val="17"/>
    <w:link w:val="40"/>
    <w:qFormat/>
    <w:uiPriority w:val="0"/>
    <w:pPr>
      <w:spacing w:after="180"/>
      <w:ind w:left="568" w:hanging="284"/>
      <w:contextualSpacing w:val="0"/>
      <w:jc w:val="left"/>
    </w:pPr>
    <w:rPr>
      <w:lang w:eastAsia="en-US"/>
    </w:rPr>
  </w:style>
  <w:style w:type="paragraph" w:styleId="39">
    <w:name w:val="List Paragraph"/>
    <w:basedOn w:val="1"/>
    <w:link w:val="50"/>
    <w:qFormat/>
    <w:uiPriority w:val="34"/>
    <w:pPr>
      <w:ind w:left="720"/>
      <w:contextualSpacing/>
    </w:pPr>
  </w:style>
  <w:style w:type="character" w:customStyle="1" w:styleId="40">
    <w:name w:val="B1 Char1"/>
    <w:link w:val="38"/>
    <w:qFormat/>
    <w:uiPriority w:val="0"/>
    <w:rPr>
      <w:rFonts w:ascii="Arial" w:hAnsi="Arial" w:eastAsia="Times New Roman" w:cs="Times New Roman"/>
      <w:sz w:val="20"/>
      <w:szCs w:val="20"/>
      <w:lang w:val="en-GB"/>
    </w:rPr>
  </w:style>
  <w:style w:type="paragraph" w:customStyle="1" w:styleId="41">
    <w:name w:val="IvD Instructiontext"/>
    <w:basedOn w:val="12"/>
    <w:link w:val="4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2">
    <w:name w:val="IvD Instructiontext Char"/>
    <w:link w:val="41"/>
    <w:qFormat/>
    <w:uiPriority w:val="99"/>
    <w:rPr>
      <w:rFonts w:ascii="Arial" w:hAnsi="Arial" w:eastAsia="Times New Roman" w:cs="Times New Roman"/>
      <w:i/>
      <w:color w:val="7F7F7F"/>
      <w:spacing w:val="2"/>
      <w:sz w:val="18"/>
      <w:szCs w:val="18"/>
      <w:lang w:val="en-US"/>
    </w:rPr>
  </w:style>
  <w:style w:type="paragraph" w:customStyle="1" w:styleId="43">
    <w:name w:val="IvD bodytext"/>
    <w:basedOn w:val="12"/>
    <w:link w:val="4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4">
    <w:name w:val="IvD bodytext Char"/>
    <w:link w:val="43"/>
    <w:qFormat/>
    <w:uiPriority w:val="0"/>
    <w:rPr>
      <w:rFonts w:ascii="Arial" w:hAnsi="Arial" w:eastAsia="Times New Roman" w:cs="Times New Roman"/>
      <w:spacing w:val="2"/>
      <w:sz w:val="20"/>
      <w:szCs w:val="20"/>
      <w:lang w:val="en-US"/>
    </w:rPr>
  </w:style>
  <w:style w:type="character" w:customStyle="1" w:styleId="45">
    <w:name w:val="页眉 字符"/>
    <w:basedOn w:val="22"/>
    <w:link w:val="16"/>
    <w:qFormat/>
    <w:uiPriority w:val="99"/>
    <w:rPr>
      <w:rFonts w:ascii="Arial" w:hAnsi="Arial" w:eastAsia="Times New Roman" w:cs="Times New Roman"/>
      <w:sz w:val="20"/>
      <w:szCs w:val="20"/>
      <w:lang w:val="en-GB" w:eastAsia="zh-CN"/>
    </w:rPr>
  </w:style>
  <w:style w:type="character" w:customStyle="1" w:styleId="46">
    <w:name w:val="正文文本 字符"/>
    <w:basedOn w:val="22"/>
    <w:link w:val="12"/>
    <w:semiHidden/>
    <w:qFormat/>
    <w:uiPriority w:val="99"/>
    <w:rPr>
      <w:rFonts w:ascii="Arial" w:hAnsi="Arial" w:eastAsia="Times New Roman" w:cs="Times New Roman"/>
      <w:sz w:val="20"/>
      <w:szCs w:val="20"/>
      <w:lang w:val="en-GB" w:eastAsia="zh-CN"/>
    </w:rPr>
  </w:style>
  <w:style w:type="character" w:customStyle="1" w:styleId="47">
    <w:name w:val="批注框文本 字符"/>
    <w:basedOn w:val="22"/>
    <w:link w:val="14"/>
    <w:semiHidden/>
    <w:qFormat/>
    <w:uiPriority w:val="99"/>
    <w:rPr>
      <w:rFonts w:ascii="Segoe UI" w:hAnsi="Segoe UI" w:eastAsia="Times New Roman" w:cs="Segoe UI"/>
      <w:sz w:val="18"/>
      <w:szCs w:val="18"/>
      <w:lang w:val="en-GB" w:eastAsia="zh-CN"/>
    </w:rPr>
  </w:style>
  <w:style w:type="character" w:customStyle="1" w:styleId="48">
    <w:name w:val="批注主题 字符"/>
    <w:basedOn w:val="37"/>
    <w:link w:val="19"/>
    <w:semiHidden/>
    <w:qFormat/>
    <w:uiPriority w:val="99"/>
    <w:rPr>
      <w:rFonts w:ascii="Arial" w:hAnsi="Arial" w:eastAsia="Times New Roman" w:cs="Times New Roman"/>
      <w:b/>
      <w:bCs/>
      <w:sz w:val="20"/>
      <w:szCs w:val="20"/>
      <w:lang w:val="en-GB" w:eastAsia="zh-CN"/>
    </w:rPr>
  </w:style>
  <w:style w:type="character" w:customStyle="1" w:styleId="49">
    <w:name w:val="B1 Char"/>
    <w:qFormat/>
    <w:locked/>
    <w:uiPriority w:val="0"/>
    <w:rPr>
      <w:lang w:val="en-GB" w:eastAsia="zh-CN"/>
    </w:rPr>
  </w:style>
  <w:style w:type="character" w:customStyle="1" w:styleId="50">
    <w:name w:val="列出段落 字符"/>
    <w:link w:val="39"/>
    <w:qFormat/>
    <w:locked/>
    <w:uiPriority w:val="34"/>
    <w:rPr>
      <w:rFonts w:ascii="Arial" w:hAnsi="Arial" w:eastAsia="Times New Roman" w:cs="Times New Roman"/>
      <w:sz w:val="20"/>
      <w:szCs w:val="20"/>
      <w:lang w:val="en-GB" w:eastAsia="zh-CN"/>
    </w:rPr>
  </w:style>
  <w:style w:type="paragraph" w:customStyle="1" w:styleId="51">
    <w:name w:val="CR Cover Page"/>
    <w:link w:val="52"/>
    <w:qFormat/>
    <w:uiPriority w:val="0"/>
    <w:pPr>
      <w:spacing w:after="120"/>
    </w:pPr>
    <w:rPr>
      <w:rFonts w:ascii="Arial" w:hAnsi="Arial" w:cs="Times New Roman" w:eastAsiaTheme="minorEastAsia"/>
      <w:lang w:val="en-GB" w:eastAsia="en-US" w:bidi="ar-SA"/>
    </w:rPr>
  </w:style>
  <w:style w:type="character" w:customStyle="1" w:styleId="52">
    <w:name w:val="CR Cover Page Zchn"/>
    <w:link w:val="51"/>
    <w:qFormat/>
    <w:locked/>
    <w:uiPriority w:val="0"/>
    <w:rPr>
      <w:rFonts w:ascii="Arial" w:hAnsi="Arial" w:cs="Times New Roman" w:eastAsiaTheme="minorEastAsia"/>
      <w:sz w:val="20"/>
      <w:szCs w:val="20"/>
      <w:lang w:val="en-GB"/>
    </w:rPr>
  </w:style>
  <w:style w:type="character" w:customStyle="1" w:styleId="53">
    <w:name w:val="PL Char"/>
    <w:link w:val="54"/>
    <w:qFormat/>
    <w:uiPriority w:val="0"/>
    <w:rPr>
      <w:rFonts w:ascii="Courier New" w:hAnsi="Courier New"/>
      <w:sz w:val="16"/>
      <w:lang w:val="en-GB"/>
    </w:rPr>
  </w:style>
  <w:style w:type="paragraph" w:customStyle="1" w:styleId="54">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5">
    <w:name w:val="TAL"/>
    <w:basedOn w:val="1"/>
    <w:link w:val="56"/>
    <w:qFormat/>
    <w:uiPriority w:val="0"/>
    <w:pPr>
      <w:keepNext/>
      <w:keepLines/>
      <w:spacing w:after="0"/>
      <w:jc w:val="left"/>
    </w:pPr>
    <w:rPr>
      <w:sz w:val="18"/>
      <w:lang w:val="zh-CN"/>
    </w:rPr>
  </w:style>
  <w:style w:type="character" w:customStyle="1" w:styleId="56">
    <w:name w:val="TAL Car"/>
    <w:link w:val="55"/>
    <w:qFormat/>
    <w:uiPriority w:val="0"/>
    <w:rPr>
      <w:rFonts w:ascii="Arial" w:hAnsi="Arial" w:eastAsia="Times New Roman" w:cs="Times New Roman"/>
      <w:sz w:val="18"/>
      <w:szCs w:val="20"/>
      <w:lang w:val="zh-CN" w:eastAsia="zh-CN"/>
    </w:rPr>
  </w:style>
  <w:style w:type="paragraph" w:customStyle="1" w:styleId="57">
    <w:name w:val="TAH"/>
    <w:basedOn w:val="1"/>
    <w:link w:val="58"/>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8">
    <w:name w:val="TAH Car"/>
    <w:link w:val="57"/>
    <w:qFormat/>
    <w:locked/>
    <w:uiPriority w:val="0"/>
    <w:rPr>
      <w:b/>
      <w:sz w:val="18"/>
      <w:lang w:val="en-US"/>
    </w:rPr>
  </w:style>
  <w:style w:type="character" w:customStyle="1" w:styleId="59">
    <w:name w:val="题注 字符"/>
    <w:basedOn w:val="22"/>
    <w:link w:val="11"/>
    <w:qFormat/>
    <w:uiPriority w:val="0"/>
    <w:rPr>
      <w:rFonts w:ascii="Arial" w:hAnsi="Arial" w:eastAsia="Times New Roman" w:cs="Times New Roman"/>
      <w:kern w:val="20"/>
      <w:sz w:val="20"/>
      <w:szCs w:val="20"/>
      <w:lang w:val="en-US"/>
    </w:rPr>
  </w:style>
  <w:style w:type="character" w:customStyle="1" w:styleId="60">
    <w:name w:val="TAL Char"/>
    <w:qFormat/>
    <w:uiPriority w:val="0"/>
    <w:rPr>
      <w:rFonts w:ascii="Arial" w:hAnsi="Arial"/>
      <w:sz w:val="18"/>
      <w:lang w:val="en-GB" w:eastAsia="en-US"/>
    </w:rPr>
  </w:style>
  <w:style w:type="character" w:customStyle="1" w:styleId="61">
    <w:name w:val="TAH Char"/>
    <w:qFormat/>
    <w:uiPriority w:val="0"/>
    <w:rPr>
      <w:rFonts w:ascii="Arial" w:hAnsi="Arial"/>
      <w:b/>
      <w:sz w:val="18"/>
      <w:lang w:val="en-GB" w:eastAsia="en-US"/>
    </w:rPr>
  </w:style>
  <w:style w:type="character" w:customStyle="1" w:styleId="62">
    <w:name w:val="WW8Num1z1"/>
    <w:qFormat/>
    <w:uiPriority w:val="0"/>
    <w:rPr>
      <w:rFonts w:hint="default" w:ascii="Courier New" w:hAnsi="Courier New" w:cs="Courier New"/>
    </w:rPr>
  </w:style>
  <w:style w:type="paragraph" w:customStyle="1" w:styleId="63">
    <w:name w:val="修订1"/>
    <w:hidden/>
    <w:semiHidden/>
    <w:qFormat/>
    <w:uiPriority w:val="99"/>
    <w:rPr>
      <w:rFonts w:ascii="Arial" w:hAnsi="Arial" w:eastAsia="Times New Roman" w:cs="Times New Roman"/>
      <w:lang w:val="en-GB" w:eastAsia="zh-CN" w:bidi="ar-SA"/>
    </w:rPr>
  </w:style>
  <w:style w:type="paragraph" w:customStyle="1" w:styleId="64">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5">
    <w:name w:val="TAC"/>
    <w:basedOn w:val="55"/>
    <w:link w:val="66"/>
    <w:qFormat/>
    <w:uiPriority w:val="0"/>
    <w:pPr>
      <w:jc w:val="center"/>
    </w:pPr>
    <w:rPr>
      <w:lang w:val="en-GB" w:eastAsia="en-GB"/>
    </w:rPr>
  </w:style>
  <w:style w:type="character" w:customStyle="1" w:styleId="66">
    <w:name w:val="TAC Char"/>
    <w:basedOn w:val="60"/>
    <w:link w:val="65"/>
    <w:qFormat/>
    <w:locked/>
    <w:uiPriority w:val="0"/>
    <w:rPr>
      <w:rFonts w:ascii="Arial" w:hAnsi="Arial" w:eastAsia="Times New Roman" w:cs="Times New Roman"/>
      <w:sz w:val="18"/>
      <w:szCs w:val="20"/>
      <w:lang w:val="en-GB" w:eastAsia="en-GB"/>
    </w:rPr>
  </w:style>
  <w:style w:type="paragraph" w:customStyle="1" w:styleId="67">
    <w:name w:val="TF"/>
    <w:basedOn w:val="1"/>
    <w:link w:val="68"/>
    <w:qFormat/>
    <w:uiPriority w:val="0"/>
    <w:pPr>
      <w:keepLines/>
      <w:overflowPunct/>
      <w:autoSpaceDE/>
      <w:autoSpaceDN/>
      <w:adjustRightInd/>
      <w:spacing w:after="240"/>
      <w:jc w:val="center"/>
      <w:textAlignment w:val="auto"/>
    </w:pPr>
    <w:rPr>
      <w:rFonts w:eastAsia="宋体"/>
      <w:b/>
      <w:lang w:eastAsia="en-US"/>
    </w:rPr>
  </w:style>
  <w:style w:type="character" w:customStyle="1" w:styleId="68">
    <w:name w:val="TF Char"/>
    <w:link w:val="67"/>
    <w:qFormat/>
    <w:uiPriority w:val="0"/>
    <w:rPr>
      <w:rFonts w:ascii="Arial" w:hAnsi="Arial" w:eastAsia="宋体" w:cs="Times New Roman"/>
      <w:b/>
      <w:sz w:val="20"/>
      <w:szCs w:val="20"/>
      <w:lang w:val="en-GB"/>
    </w:rPr>
  </w:style>
  <w:style w:type="paragraph" w:customStyle="1" w:styleId="69">
    <w:name w:val="Proposal"/>
    <w:basedOn w:val="12"/>
    <w:qFormat/>
    <w:uiPriority w:val="0"/>
    <w:pPr>
      <w:numPr>
        <w:ilvl w:val="0"/>
        <w:numId w:val="3"/>
      </w:numPr>
      <w:tabs>
        <w:tab w:val="left" w:pos="1701"/>
      </w:tabs>
    </w:pPr>
    <w:rPr>
      <w:b/>
      <w:bCs/>
    </w:rPr>
  </w:style>
  <w:style w:type="paragraph" w:customStyle="1" w:styleId="70">
    <w:name w:val="Observation"/>
    <w:basedOn w:val="69"/>
    <w:qFormat/>
    <w:uiPriority w:val="0"/>
    <w:pPr>
      <w:numPr>
        <w:ilvl w:val="0"/>
        <w:numId w:val="4"/>
      </w:numPr>
    </w:pPr>
    <w:rPr>
      <w:lang w:eastAsia="ja-JP"/>
    </w:rPr>
  </w:style>
  <w:style w:type="paragraph" w:customStyle="1" w:styleId="71">
    <w:name w:val="Norml"/>
    <w:basedOn w:val="69"/>
    <w:qFormat/>
    <w:uiPriority w:val="0"/>
  </w:style>
  <w:style w:type="character" w:customStyle="1" w:styleId="72">
    <w:name w:val="未处理的提及1"/>
    <w:basedOn w:val="22"/>
    <w:unhideWhenUsed/>
    <w:qFormat/>
    <w:uiPriority w:val="99"/>
    <w:rPr>
      <w:color w:val="605E5C"/>
      <w:shd w:val="clear" w:color="auto" w:fill="E1DFDD"/>
    </w:rPr>
  </w:style>
  <w:style w:type="character" w:customStyle="1" w:styleId="73">
    <w:name w:val="@他1"/>
    <w:basedOn w:val="22"/>
    <w:unhideWhenUsed/>
    <w:qFormat/>
    <w:uiPriority w:val="99"/>
    <w:rPr>
      <w:color w:val="2B579A"/>
      <w:shd w:val="clear" w:color="auto" w:fill="E1DFDD"/>
    </w:rPr>
  </w:style>
  <w:style w:type="paragraph" w:customStyle="1" w:styleId="74">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5">
    <w:name w:val="Default"/>
    <w:qFormat/>
    <w:uiPriority w:val="0"/>
    <w:pPr>
      <w:widowControl w:val="0"/>
      <w:autoSpaceDE w:val="0"/>
      <w:autoSpaceDN w:val="0"/>
      <w:adjustRightInd w:val="0"/>
    </w:pPr>
    <w:rPr>
      <w:rFonts w:ascii="Times New Roman" w:hAnsi="Times New Roman" w:eastAsia="Batang" w:cs="Times New Roman"/>
      <w:color w:val="000000"/>
      <w:sz w:val="24"/>
      <w:szCs w:val="24"/>
      <w:lang w:val="en-US" w:eastAsia="zh-CN" w:bidi="ar-SA"/>
    </w:rPr>
  </w:style>
  <w:style w:type="paragraph" w:customStyle="1" w:styleId="76">
    <w:name w:val="正文1"/>
    <w:qFormat/>
    <w:uiPriority w:val="0"/>
    <w:pPr>
      <w:jc w:val="both"/>
    </w:pPr>
    <w:rPr>
      <w:rFonts w:ascii="Calibri" w:hAnsi="Calibri" w:eastAsia="宋体" w:cs="Calibri"/>
      <w:kern w:val="2"/>
      <w:sz w:val="21"/>
      <w:szCs w:val="21"/>
      <w:lang w:val="en-US" w:eastAsia="zh-CN" w:bidi="ar-SA"/>
    </w:rPr>
  </w:style>
  <w:style w:type="paragraph" w:customStyle="1" w:styleId="77">
    <w:name w:val="正文2"/>
    <w:qFormat/>
    <w:uiPriority w:val="0"/>
    <w:pPr>
      <w:jc w:val="both"/>
    </w:pPr>
    <w:rPr>
      <w:rFonts w:ascii="Calibri" w:hAnsi="Calibri" w:eastAsia="宋体" w:cs="Calibri"/>
      <w:kern w:val="2"/>
      <w:sz w:val="21"/>
      <w:szCs w:val="21"/>
      <w:lang w:val="en-US" w:eastAsia="zh-CN" w:bidi="ar-SA"/>
    </w:rPr>
  </w:style>
  <w:style w:type="character" w:customStyle="1" w:styleId="78">
    <w:name w:val="首标题"/>
    <w:qFormat/>
    <w:uiPriority w:val="0"/>
    <w:rPr>
      <w:rFonts w:ascii="Arial" w:hAnsi="Arial" w:eastAsia="宋体"/>
      <w:sz w:val="24"/>
      <w:lang w:val="en-US" w:eastAsia="zh-CN" w:bidi="ar-SA"/>
    </w:rPr>
  </w:style>
  <w:style w:type="paragraph" w:customStyle="1" w:styleId="79">
    <w:name w:val="修订2"/>
    <w:hidden/>
    <w:semiHidden/>
    <w:qFormat/>
    <w:uiPriority w:val="99"/>
    <w:rPr>
      <w:rFonts w:ascii="Arial" w:hAnsi="Arial" w:eastAsia="Times New Roman" w:cs="Times New Roman"/>
      <w:lang w:val="en-GB" w:eastAsia="zh-CN" w:bidi="ar-SA"/>
    </w:rPr>
  </w:style>
  <w:style w:type="paragraph" w:customStyle="1" w:styleId="80">
    <w:name w:val="x_msonormal"/>
    <w:basedOn w:val="1"/>
    <w:qFormat/>
    <w:uiPriority w:val="0"/>
    <w:pPr>
      <w:overflowPunct/>
      <w:autoSpaceDE/>
      <w:autoSpaceDN/>
      <w:adjustRightInd/>
      <w:spacing w:before="100" w:beforeAutospacing="1" w:after="0"/>
      <w:jc w:val="left"/>
      <w:textAlignment w:val="auto"/>
    </w:pPr>
    <w:rPr>
      <w:rFonts w:ascii="Calibri" w:hAnsi="Calibri" w:eastAsia="宋体" w:cs="Calibri"/>
      <w:sz w:val="22"/>
      <w:szCs w:val="22"/>
      <w:lang w:val="en-US"/>
    </w:rPr>
  </w:style>
  <w:style w:type="paragraph" w:customStyle="1" w:styleId="81">
    <w:name w:val="列出段落1"/>
    <w:basedOn w:val="1"/>
    <w:qFormat/>
    <w:uiPriority w:val="0"/>
    <w:pPr>
      <w:overflowPunct/>
      <w:autoSpaceDE/>
      <w:autoSpaceDN/>
      <w:adjustRightInd/>
      <w:spacing w:before="100" w:beforeAutospacing="1" w:after="180"/>
      <w:ind w:left="720"/>
      <w:contextualSpacing/>
      <w:jc w:val="left"/>
      <w:textAlignment w:val="auto"/>
    </w:pPr>
    <w:rPr>
      <w:rFonts w:ascii="Times New Roman" w:hAnsi="Times New Roman" w:eastAsia="宋体"/>
      <w:sz w:val="24"/>
      <w:szCs w:val="24"/>
      <w:lang w:val="en-US"/>
    </w:rPr>
  </w:style>
  <w:style w:type="paragraph" w:customStyle="1" w:styleId="82">
    <w:name w:val="LSHeader"/>
    <w:qFormat/>
    <w:uiPriority w:val="0"/>
    <w:pPr>
      <w:tabs>
        <w:tab w:val="right" w:pos="9781"/>
      </w:tabs>
    </w:pPr>
    <w:rPr>
      <w:rFonts w:ascii="Arial" w:hAnsi="Arial" w:eastAsia="等线" w:cs="Times New Roman"/>
      <w:b/>
      <w:sz w:val="24"/>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Props1.xml><?xml version="1.0" encoding="utf-8"?>
<ds:datastoreItem xmlns:ds="http://schemas.openxmlformats.org/officeDocument/2006/customXml" ds:itemID="{722C3ED0-10F4-48A1-B782-46BFD92977AB}">
  <ds:schemaRefs/>
</ds:datastoreItem>
</file>

<file path=customXml/itemProps2.xml><?xml version="1.0" encoding="utf-8"?>
<ds:datastoreItem xmlns:ds="http://schemas.openxmlformats.org/officeDocument/2006/customXml" ds:itemID="{AB067330-89E3-4362-9022-7EE22BBAB73C}">
  <ds:schemaRefs/>
</ds:datastoreItem>
</file>

<file path=customXml/itemProps3.xml><?xml version="1.0" encoding="utf-8"?>
<ds:datastoreItem xmlns:ds="http://schemas.openxmlformats.org/officeDocument/2006/customXml" ds:itemID="{7957D943-A877-475D-BA92-1F9DEC590F82}">
  <ds:schemaRefs/>
</ds:datastoreItem>
</file>

<file path=customXml/itemProps4.xml><?xml version="1.0" encoding="utf-8"?>
<ds:datastoreItem xmlns:ds="http://schemas.openxmlformats.org/officeDocument/2006/customXml" ds:itemID="{4C4EBDAD-F25C-4923-B5F8-0F15B0BFAADC}">
  <ds:schemaRefs/>
</ds:datastoreItem>
</file>

<file path=customXml/itemProps5.xml><?xml version="1.0" encoding="utf-8"?>
<ds:datastoreItem xmlns:ds="http://schemas.openxmlformats.org/officeDocument/2006/customXml" ds:itemID="{FB6DDB7C-9959-4AEC-AA49-498A6EC77218}">
  <ds:schemaRefs/>
</ds:datastoreItem>
</file>

<file path=customXml/itemProps6.xml><?xml version="1.0" encoding="utf-8"?>
<ds:datastoreItem xmlns:ds="http://schemas.openxmlformats.org/officeDocument/2006/customXml" ds:itemID="{AFD3527F-078C-46FF-917C-D402B9DBDD85}">
  <ds:schemaRefs/>
</ds:datastoreItem>
</file>

<file path=docProps/app.xml><?xml version="1.0" encoding="utf-8"?>
<Properties xmlns="http://schemas.openxmlformats.org/officeDocument/2006/extended-properties" xmlns:vt="http://schemas.openxmlformats.org/officeDocument/2006/docPropsVTypes">
  <Template>Normal</Template>
  <Pages>3</Pages>
  <Words>1070</Words>
  <Characters>6101</Characters>
  <Lines>50</Lines>
  <Paragraphs>14</Paragraphs>
  <TotalTime>2177</TotalTime>
  <ScaleCrop>false</ScaleCrop>
  <LinksUpToDate>false</LinksUpToDate>
  <CharactersWithSpaces>7157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2023-02-17T06:34:00Z</dcterms:created>
  <dc:creator>Ericsson User</dc:creator>
  <cp:lastModifiedBy>R2-2311870</cp:lastModifiedBy>
  <dcterms:modified xsi:type="dcterms:W3CDTF">2023-11-03T06:27:03Z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617C1146B0B94528B38E5714BD673727</vt:lpwstr>
  </property>
  <property fmtid="{D5CDD505-2E9C-101B-9397-08002B2CF9AE}" pid="21" name="GrammarlyDocumentId">
    <vt:lpwstr>847a03883f9dba5ec6c649e7c57b3cc63ee84cded77194ea725dfedcd32d4d3d</vt:lpwstr>
  </property>
</Properties>
</file>